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drawings/drawing1.xml" ContentType="application/vnd.openxmlformats-officedocument.drawingml.chartshapes+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D1C25" w14:textId="77777777" w:rsidR="009B475A" w:rsidRDefault="009B475A" w:rsidP="009357C3">
      <w:pPr>
        <w:spacing w:after="0" w:line="240" w:lineRule="auto"/>
        <w:jc w:val="center"/>
        <w:rPr>
          <w:rFonts w:ascii="Times New Roman" w:hAnsi="Times New Roman" w:cs="Times New Roman"/>
          <w:b/>
          <w:sz w:val="32"/>
          <w:szCs w:val="24"/>
          <w:lang w:val="en-US"/>
        </w:rPr>
      </w:pPr>
      <w:r w:rsidRPr="009B475A">
        <w:rPr>
          <w:rFonts w:ascii="Times New Roman" w:hAnsi="Times New Roman" w:cs="Times New Roman"/>
          <w:b/>
          <w:sz w:val="32"/>
          <w:szCs w:val="24"/>
          <w:lang w:val="en-US"/>
        </w:rPr>
        <w:t xml:space="preserve">KETERAMPILAN PROSES SAINS MAHASISWA NON-SAINS </w:t>
      </w:r>
      <w:r>
        <w:rPr>
          <w:rFonts w:ascii="Times New Roman" w:hAnsi="Times New Roman" w:cs="Times New Roman"/>
          <w:b/>
          <w:sz w:val="32"/>
          <w:szCs w:val="24"/>
          <w:lang w:val="en-US"/>
        </w:rPr>
        <w:t>MELALUI PEMANFAATAN SPADA UNRAM</w:t>
      </w:r>
    </w:p>
    <w:p w14:paraId="31868DC8" w14:textId="18DDB6AC" w:rsidR="003B5759" w:rsidRPr="00C725DD" w:rsidRDefault="009B475A" w:rsidP="009357C3">
      <w:pPr>
        <w:spacing w:after="0" w:line="240" w:lineRule="auto"/>
        <w:jc w:val="center"/>
        <w:rPr>
          <w:rFonts w:ascii="Times New Roman" w:hAnsi="Times New Roman" w:cs="Times New Roman"/>
          <w:b/>
          <w:sz w:val="40"/>
          <w:szCs w:val="24"/>
        </w:rPr>
      </w:pPr>
      <w:r w:rsidRPr="009B475A">
        <w:rPr>
          <w:rFonts w:ascii="Times New Roman" w:hAnsi="Times New Roman" w:cs="Times New Roman"/>
          <w:b/>
          <w:sz w:val="32"/>
          <w:szCs w:val="24"/>
          <w:lang w:val="en-US"/>
        </w:rPr>
        <w:t>DAN LABORATORIUM ALAM</w:t>
      </w:r>
    </w:p>
    <w:p w14:paraId="11FA0953" w14:textId="77777777" w:rsidR="003B5759" w:rsidRPr="00C725DD" w:rsidRDefault="003B5759" w:rsidP="003B5759">
      <w:pPr>
        <w:spacing w:after="0" w:line="240" w:lineRule="auto"/>
        <w:jc w:val="center"/>
        <w:rPr>
          <w:rFonts w:ascii="Times New Roman" w:hAnsi="Times New Roman" w:cs="Times New Roman"/>
          <w:sz w:val="24"/>
          <w:szCs w:val="24"/>
          <w:lang w:val="en-US"/>
        </w:rPr>
      </w:pPr>
    </w:p>
    <w:p w14:paraId="40447C8F" w14:textId="1AD5285B" w:rsidR="00EA73FA" w:rsidRPr="00C725DD" w:rsidRDefault="009B475A" w:rsidP="00EA73FA">
      <w:pPr>
        <w:spacing w:after="0" w:line="240" w:lineRule="auto"/>
        <w:jc w:val="center"/>
        <w:rPr>
          <w:rFonts w:ascii="Times New Roman" w:hAnsi="Times New Roman" w:cs="Times New Roman"/>
          <w:b/>
          <w:szCs w:val="24"/>
          <w:lang w:val="en-US"/>
        </w:rPr>
      </w:pPr>
      <w:r>
        <w:rPr>
          <w:rFonts w:ascii="Times New Roman" w:hAnsi="Times New Roman" w:cs="Times New Roman"/>
          <w:b/>
          <w:sz w:val="24"/>
          <w:lang w:val="en-US"/>
        </w:rPr>
        <w:t>Muhammad Syazali</w:t>
      </w:r>
      <w:r w:rsidR="008B5AB2" w:rsidRPr="00C725DD">
        <w:rPr>
          <w:rFonts w:ascii="Times New Roman" w:hAnsi="Times New Roman" w:cs="Times New Roman"/>
          <w:b/>
          <w:sz w:val="24"/>
          <w:vertAlign w:val="superscript"/>
          <w:lang w:val="en-US"/>
        </w:rPr>
        <w:t>1</w:t>
      </w:r>
      <w:r w:rsidR="008B5AB2" w:rsidRPr="00C725DD">
        <w:rPr>
          <w:rFonts w:ascii="Times New Roman" w:hAnsi="Times New Roman" w:cs="Times New Roman"/>
          <w:b/>
          <w:sz w:val="24"/>
          <w:lang w:val="en-US"/>
        </w:rPr>
        <w:t xml:space="preserve">, </w:t>
      </w:r>
      <w:r w:rsidR="00852599">
        <w:rPr>
          <w:rFonts w:ascii="Times New Roman" w:hAnsi="Times New Roman" w:cs="Times New Roman"/>
          <w:b/>
          <w:sz w:val="24"/>
          <w:lang w:val="en-US"/>
        </w:rPr>
        <w:t>I Ketut Widiada</w:t>
      </w:r>
      <w:r w:rsidR="008B5AB2" w:rsidRPr="00C725DD">
        <w:rPr>
          <w:rFonts w:ascii="Times New Roman" w:hAnsi="Times New Roman" w:cs="Times New Roman"/>
          <w:b/>
          <w:sz w:val="24"/>
          <w:vertAlign w:val="superscript"/>
          <w:lang w:val="en-US"/>
        </w:rPr>
        <w:t>2</w:t>
      </w:r>
      <w:r w:rsidR="008B5AB2" w:rsidRPr="00C725DD">
        <w:rPr>
          <w:rFonts w:ascii="Times New Roman" w:hAnsi="Times New Roman" w:cs="Times New Roman"/>
          <w:b/>
          <w:sz w:val="24"/>
          <w:lang w:val="en-US"/>
        </w:rPr>
        <w:t xml:space="preserve">, </w:t>
      </w:r>
      <w:r w:rsidR="00852599">
        <w:rPr>
          <w:rFonts w:ascii="Times New Roman" w:hAnsi="Times New Roman" w:cs="Times New Roman"/>
          <w:b/>
          <w:sz w:val="24"/>
          <w:lang w:val="en-US"/>
        </w:rPr>
        <w:t>M</w:t>
      </w:r>
      <w:r w:rsidR="00B573CC">
        <w:rPr>
          <w:rFonts w:ascii="Times New Roman" w:hAnsi="Times New Roman" w:cs="Times New Roman"/>
          <w:b/>
          <w:sz w:val="24"/>
          <w:lang w:val="en-US"/>
        </w:rPr>
        <w:t>oh.</w:t>
      </w:r>
      <w:r w:rsidR="00852599">
        <w:rPr>
          <w:rFonts w:ascii="Times New Roman" w:hAnsi="Times New Roman" w:cs="Times New Roman"/>
          <w:b/>
          <w:sz w:val="24"/>
          <w:lang w:val="en-US"/>
        </w:rPr>
        <w:t xml:space="preserve"> Irawan Zain</w:t>
      </w:r>
      <w:r w:rsidR="008B5AB2" w:rsidRPr="00C725DD">
        <w:rPr>
          <w:rFonts w:ascii="Times New Roman" w:hAnsi="Times New Roman" w:cs="Times New Roman"/>
          <w:b/>
          <w:sz w:val="24"/>
          <w:vertAlign w:val="superscript"/>
          <w:lang w:val="en-US"/>
        </w:rPr>
        <w:t>3</w:t>
      </w:r>
    </w:p>
    <w:p w14:paraId="1E6B57C3" w14:textId="77777777" w:rsidR="00791C69" w:rsidRPr="00C725DD" w:rsidRDefault="00791C69" w:rsidP="00791C69">
      <w:pPr>
        <w:spacing w:after="0" w:line="240" w:lineRule="auto"/>
        <w:jc w:val="center"/>
        <w:rPr>
          <w:rFonts w:ascii="Times New Roman" w:hAnsi="Times New Roman" w:cs="Times New Roman"/>
          <w:sz w:val="12"/>
          <w:szCs w:val="24"/>
        </w:rPr>
      </w:pPr>
    </w:p>
    <w:p w14:paraId="17129734" w14:textId="090C2D8F" w:rsidR="005A266C" w:rsidRPr="00C725DD" w:rsidRDefault="005A266C" w:rsidP="005A266C">
      <w:pPr>
        <w:spacing w:after="0" w:line="240" w:lineRule="auto"/>
        <w:jc w:val="center"/>
        <w:rPr>
          <w:rFonts w:ascii="Times New Roman" w:hAnsi="Times New Roman" w:cs="Times New Roman"/>
          <w:szCs w:val="24"/>
          <w:lang w:val="en-US"/>
        </w:rPr>
      </w:pPr>
      <w:r w:rsidRPr="00C725DD">
        <w:rPr>
          <w:rFonts w:ascii="Times New Roman" w:hAnsi="Times New Roman" w:cs="Times New Roman"/>
          <w:szCs w:val="24"/>
          <w:vertAlign w:val="superscript"/>
          <w:lang w:val="en-US"/>
        </w:rPr>
        <w:t>1</w:t>
      </w:r>
      <w:r w:rsidR="00B573CC">
        <w:rPr>
          <w:rFonts w:ascii="Times New Roman" w:hAnsi="Times New Roman" w:cs="Times New Roman"/>
          <w:szCs w:val="24"/>
          <w:vertAlign w:val="superscript"/>
          <w:lang w:val="en-US"/>
        </w:rPr>
        <w:t>,2,3</w:t>
      </w:r>
      <w:r w:rsidRPr="00C725DD">
        <w:rPr>
          <w:rFonts w:ascii="Times New Roman" w:hAnsi="Times New Roman" w:cs="Times New Roman"/>
          <w:szCs w:val="24"/>
          <w:vertAlign w:val="superscript"/>
          <w:lang w:val="en-US"/>
        </w:rPr>
        <w:t xml:space="preserve">  </w:t>
      </w:r>
      <w:r w:rsidR="00B573CC">
        <w:rPr>
          <w:rFonts w:ascii="Times New Roman" w:hAnsi="Times New Roman" w:cs="Times New Roman"/>
          <w:szCs w:val="24"/>
          <w:lang w:val="en-US"/>
        </w:rPr>
        <w:t>Universitas Mataram</w:t>
      </w:r>
      <w:r w:rsidRPr="00C725DD">
        <w:rPr>
          <w:rFonts w:ascii="Times New Roman" w:hAnsi="Times New Roman" w:cs="Times New Roman"/>
          <w:szCs w:val="24"/>
          <w:lang w:val="en-US"/>
        </w:rPr>
        <w:t xml:space="preserve">, </w:t>
      </w:r>
      <w:r w:rsidR="00080231">
        <w:rPr>
          <w:rFonts w:ascii="Times New Roman" w:hAnsi="Times New Roman" w:cs="Times New Roman"/>
          <w:szCs w:val="24"/>
          <w:lang w:val="en-US"/>
        </w:rPr>
        <w:t>Jl. Majapahit No. 62, Mataram</w:t>
      </w:r>
    </w:p>
    <w:p w14:paraId="5236932B" w14:textId="19A965E9" w:rsidR="005A266C" w:rsidRPr="00C725DD" w:rsidRDefault="005A266C" w:rsidP="005A266C">
      <w:pPr>
        <w:spacing w:after="0" w:line="240" w:lineRule="auto"/>
        <w:jc w:val="center"/>
        <w:rPr>
          <w:rFonts w:ascii="Times New Roman" w:hAnsi="Times New Roman" w:cs="Times New Roman"/>
          <w:szCs w:val="20"/>
          <w:lang w:val="en-ID"/>
        </w:rPr>
      </w:pPr>
      <w:r w:rsidRPr="00C725DD">
        <w:rPr>
          <w:rFonts w:ascii="Times New Roman" w:hAnsi="Times New Roman" w:cs="Times New Roman"/>
          <w:szCs w:val="20"/>
          <w:vertAlign w:val="superscript"/>
          <w:lang w:val="en-US"/>
        </w:rPr>
        <w:t>1</w:t>
      </w:r>
      <w:r w:rsidRPr="00C725DD">
        <w:rPr>
          <w:rFonts w:ascii="Times New Roman" w:hAnsi="Times New Roman" w:cs="Times New Roman"/>
          <w:szCs w:val="20"/>
          <w:lang w:val="en-US"/>
        </w:rPr>
        <w:t xml:space="preserve"> </w:t>
      </w:r>
      <w:hyperlink r:id="rId9" w:history="1">
        <w:r w:rsidR="009B475A" w:rsidRPr="00F84F13">
          <w:rPr>
            <w:rStyle w:val="Hyperlink"/>
            <w:rFonts w:ascii="Times New Roman" w:hAnsi="Times New Roman" w:cs="Times New Roman"/>
            <w:bCs/>
            <w:szCs w:val="20"/>
            <w:lang w:val="en-US"/>
          </w:rPr>
          <w:t>m.syazali@unram.ac.id</w:t>
        </w:r>
      </w:hyperlink>
      <w:r w:rsidRPr="00C725DD">
        <w:rPr>
          <w:rFonts w:ascii="Times New Roman" w:hAnsi="Times New Roman" w:cs="Times New Roman"/>
          <w:lang w:val="en-US"/>
        </w:rPr>
        <w:t xml:space="preserve">, </w:t>
      </w:r>
      <w:r w:rsidRPr="00C725DD">
        <w:rPr>
          <w:rFonts w:ascii="Times New Roman" w:hAnsi="Times New Roman" w:cs="Times New Roman"/>
          <w:szCs w:val="20"/>
          <w:vertAlign w:val="superscript"/>
          <w:lang w:val="en-US"/>
        </w:rPr>
        <w:t>2</w:t>
      </w:r>
      <w:r w:rsidRPr="00C725DD">
        <w:rPr>
          <w:rFonts w:ascii="Times New Roman" w:hAnsi="Times New Roman" w:cs="Times New Roman"/>
          <w:szCs w:val="20"/>
          <w:lang w:val="en-US"/>
        </w:rPr>
        <w:t xml:space="preserve"> </w:t>
      </w:r>
      <w:hyperlink r:id="rId10" w:history="1">
        <w:r w:rsidR="00B573CC" w:rsidRPr="004D19C8">
          <w:rPr>
            <w:rStyle w:val="Hyperlink"/>
            <w:rFonts w:ascii="Times New Roman" w:hAnsi="Times New Roman" w:cs="Times New Roman"/>
            <w:bCs/>
            <w:szCs w:val="20"/>
            <w:lang w:val="en-US"/>
          </w:rPr>
          <w:t>wiada-FKIP@unram.ac.id,</w:t>
        </w:r>
      </w:hyperlink>
      <w:r w:rsidR="00B573CC">
        <w:rPr>
          <w:rStyle w:val="Hyperlink"/>
          <w:rFonts w:ascii="Times New Roman" w:hAnsi="Times New Roman" w:cs="Times New Roman"/>
          <w:bCs/>
          <w:color w:val="auto"/>
          <w:szCs w:val="20"/>
          <w:u w:val="none"/>
          <w:lang w:val="en-US"/>
        </w:rPr>
        <w:t xml:space="preserve"> </w:t>
      </w:r>
      <w:r w:rsidR="00BF63E0" w:rsidRPr="00C725DD">
        <w:rPr>
          <w:rStyle w:val="Hyperlink"/>
          <w:rFonts w:ascii="Times New Roman" w:hAnsi="Times New Roman" w:cs="Times New Roman"/>
          <w:bCs/>
          <w:color w:val="auto"/>
          <w:szCs w:val="20"/>
          <w:u w:val="none"/>
          <w:lang w:val="en-ID"/>
        </w:rPr>
        <w:t xml:space="preserve"> </w:t>
      </w:r>
      <w:r w:rsidR="00B573CC">
        <w:rPr>
          <w:rFonts w:ascii="Times New Roman" w:hAnsi="Times New Roman" w:cs="Times New Roman"/>
          <w:szCs w:val="20"/>
          <w:vertAlign w:val="superscript"/>
          <w:lang w:val="en-US"/>
        </w:rPr>
        <w:t>3</w:t>
      </w:r>
      <w:r w:rsidR="00B573CC" w:rsidRPr="00C725DD">
        <w:rPr>
          <w:rFonts w:ascii="Times New Roman" w:hAnsi="Times New Roman" w:cs="Times New Roman"/>
          <w:szCs w:val="20"/>
          <w:lang w:val="en-US"/>
        </w:rPr>
        <w:t xml:space="preserve"> </w:t>
      </w:r>
      <w:hyperlink r:id="rId11" w:history="1">
        <w:r w:rsidR="00B573CC" w:rsidRPr="004D19C8">
          <w:rPr>
            <w:rStyle w:val="Hyperlink"/>
            <w:rFonts w:ascii="Times New Roman" w:hAnsi="Times New Roman" w:cs="Times New Roman"/>
            <w:bCs/>
            <w:szCs w:val="20"/>
            <w:lang w:val="en-US"/>
          </w:rPr>
          <w:t>irawan_zain@unram.ac.id,</w:t>
        </w:r>
      </w:hyperlink>
    </w:p>
    <w:p w14:paraId="12B8B90F" w14:textId="77777777" w:rsidR="00386B7E" w:rsidRPr="00C725DD" w:rsidRDefault="00386B7E" w:rsidP="003B5759">
      <w:pPr>
        <w:spacing w:after="0" w:line="240" w:lineRule="auto"/>
        <w:jc w:val="center"/>
        <w:rPr>
          <w:rFonts w:ascii="Times New Roman" w:hAnsi="Times New Roman" w:cs="Times New Roman"/>
          <w:b/>
          <w:szCs w:val="24"/>
          <w:lang w:val="en-US"/>
        </w:rPr>
      </w:pPr>
    </w:p>
    <w:p w14:paraId="34304C0A" w14:textId="77777777" w:rsidR="003640C3" w:rsidRPr="00C725DD" w:rsidRDefault="003640C3" w:rsidP="003B5759">
      <w:pPr>
        <w:spacing w:after="0" w:line="240" w:lineRule="auto"/>
        <w:jc w:val="both"/>
        <w:rPr>
          <w:rFonts w:ascii="Times New Roman" w:hAnsi="Times New Roman" w:cs="Times New Roman"/>
          <w:color w:val="FF0000"/>
          <w:lang w:val="en-US"/>
        </w:rPr>
      </w:pPr>
    </w:p>
    <w:p w14:paraId="6A5D045A" w14:textId="2CB53373" w:rsidR="00AC08B7" w:rsidRDefault="00AC08B7" w:rsidP="003B5759">
      <w:pPr>
        <w:spacing w:after="0" w:line="240" w:lineRule="auto"/>
        <w:jc w:val="both"/>
        <w:rPr>
          <w:rFonts w:ascii="Times New Roman" w:eastAsia="Times New Roman" w:hAnsi="Times New Roman" w:cs="Times New Roman"/>
          <w:b/>
          <w:sz w:val="24"/>
          <w:szCs w:val="20"/>
          <w:lang w:val="en-US"/>
        </w:rPr>
      </w:pPr>
      <w:r>
        <w:rPr>
          <w:rFonts w:ascii="Times New Roman" w:eastAsia="Times New Roman" w:hAnsi="Times New Roman" w:cs="Times New Roman"/>
          <w:b/>
          <w:sz w:val="24"/>
          <w:szCs w:val="20"/>
          <w:lang w:val="en-US"/>
        </w:rPr>
        <w:t>Abstract</w:t>
      </w:r>
    </w:p>
    <w:p w14:paraId="0D7CD494" w14:textId="034314F6" w:rsidR="00AC08B7" w:rsidRDefault="00AC08B7" w:rsidP="003B5759">
      <w:pPr>
        <w:spacing w:after="0" w:line="240" w:lineRule="auto"/>
        <w:jc w:val="both"/>
        <w:rPr>
          <w:rFonts w:ascii="Times New Roman" w:eastAsia="Times New Roman" w:hAnsi="Times New Roman" w:cs="Times New Roman"/>
          <w:sz w:val="24"/>
          <w:szCs w:val="20"/>
          <w:lang w:val="en-US"/>
        </w:rPr>
      </w:pPr>
      <w:r w:rsidRPr="00AC08B7">
        <w:rPr>
          <w:rFonts w:ascii="Times New Roman" w:eastAsia="Times New Roman" w:hAnsi="Times New Roman" w:cs="Times New Roman"/>
          <w:sz w:val="24"/>
          <w:szCs w:val="20"/>
          <w:lang w:val="en-US"/>
        </w:rPr>
        <w:t>The ve</w:t>
      </w:r>
      <w:r>
        <w:rPr>
          <w:rFonts w:ascii="Times New Roman" w:eastAsia="Times New Roman" w:hAnsi="Times New Roman" w:cs="Times New Roman"/>
          <w:sz w:val="24"/>
          <w:szCs w:val="20"/>
          <w:lang w:val="en-US"/>
        </w:rPr>
        <w:t>ry low science process skills (S</w:t>
      </w:r>
      <w:r w:rsidRPr="00AC08B7">
        <w:rPr>
          <w:rFonts w:ascii="Times New Roman" w:eastAsia="Times New Roman" w:hAnsi="Times New Roman" w:cs="Times New Roman"/>
          <w:sz w:val="24"/>
          <w:szCs w:val="20"/>
          <w:lang w:val="en-US"/>
        </w:rPr>
        <w:t>PS) of students indicate that there is a need for learning innovation during the Covid-19 pandemic. This study aims to analyze the effectiveness of learning through SPADA Unram and the Natural Laboratory on student KPS. The research subjects consisted of 35 evening 5E class students from the PGSD FKIP Study Program at the University of Mataram who programmed the Basic Natural Sciences (</w:t>
      </w:r>
      <w:r>
        <w:rPr>
          <w:rFonts w:ascii="Times New Roman" w:eastAsia="Times New Roman" w:hAnsi="Times New Roman" w:cs="Times New Roman"/>
          <w:sz w:val="24"/>
          <w:szCs w:val="20"/>
          <w:lang w:val="en-US"/>
        </w:rPr>
        <w:t>BNS</w:t>
      </w:r>
      <w:r w:rsidRPr="00AC08B7">
        <w:rPr>
          <w:rFonts w:ascii="Times New Roman" w:eastAsia="Times New Roman" w:hAnsi="Times New Roman" w:cs="Times New Roman"/>
          <w:sz w:val="24"/>
          <w:szCs w:val="20"/>
          <w:lang w:val="en-US"/>
        </w:rPr>
        <w:t xml:space="preserve">) course. Data were collected using a test instrument in the form of an essay. The test is given at the end of the learning process which is carried out for 5 </w:t>
      </w:r>
      <w:r>
        <w:rPr>
          <w:rFonts w:ascii="Times New Roman" w:eastAsia="Times New Roman" w:hAnsi="Times New Roman" w:cs="Times New Roman"/>
          <w:sz w:val="24"/>
          <w:szCs w:val="20"/>
          <w:lang w:val="en-US"/>
        </w:rPr>
        <w:t>weeks. The degree of mastery (DM</w:t>
      </w:r>
      <w:r w:rsidRPr="00AC08B7">
        <w:rPr>
          <w:rFonts w:ascii="Times New Roman" w:eastAsia="Times New Roman" w:hAnsi="Times New Roman" w:cs="Times New Roman"/>
          <w:sz w:val="24"/>
          <w:szCs w:val="20"/>
          <w:lang w:val="en-US"/>
        </w:rPr>
        <w:t>) of students on the basic KPS is classified into 5 categories, namely very good, good, sufficient, less, and very poor. The results showed that th</w:t>
      </w:r>
      <w:r>
        <w:rPr>
          <w:rFonts w:ascii="Times New Roman" w:eastAsia="Times New Roman" w:hAnsi="Times New Roman" w:cs="Times New Roman"/>
          <w:sz w:val="24"/>
          <w:szCs w:val="20"/>
          <w:lang w:val="en-US"/>
        </w:rPr>
        <w:t>e students had a basic SPS DM</w:t>
      </w:r>
      <w:r w:rsidRPr="00AC08B7">
        <w:rPr>
          <w:rFonts w:ascii="Times New Roman" w:eastAsia="Times New Roman" w:hAnsi="Times New Roman" w:cs="Times New Roman"/>
          <w:sz w:val="24"/>
          <w:szCs w:val="20"/>
          <w:lang w:val="en-US"/>
        </w:rPr>
        <w:t xml:space="preserve"> in a good category, and it was significantly different from the results of the previous test. Respectively, the proportion of students with very good, good, and sufficient categories was 28.57%, 34.29%, and 11.43%. The remaining 2.86% are still in the poor category, and 22.86% in the very poor category. Based on these results, it can be concluded that the implementation of SPADA UNRAM and the Natural Laboratory has a positiv</w:t>
      </w:r>
      <w:r>
        <w:rPr>
          <w:rFonts w:ascii="Times New Roman" w:eastAsia="Times New Roman" w:hAnsi="Times New Roman" w:cs="Times New Roman"/>
          <w:sz w:val="24"/>
          <w:szCs w:val="20"/>
          <w:lang w:val="en-US"/>
        </w:rPr>
        <w:t>e impact on increasing student S</w:t>
      </w:r>
      <w:r w:rsidRPr="00AC08B7">
        <w:rPr>
          <w:rFonts w:ascii="Times New Roman" w:eastAsia="Times New Roman" w:hAnsi="Times New Roman" w:cs="Times New Roman"/>
          <w:sz w:val="24"/>
          <w:szCs w:val="20"/>
          <w:lang w:val="en-US"/>
        </w:rPr>
        <w:t>PS. Implementation of this learning can be one solution, but it still needs improvement because the proportion of students who have a low degree of mastery is still large.</w:t>
      </w:r>
    </w:p>
    <w:p w14:paraId="3F87D36B" w14:textId="77777777" w:rsidR="00AC08B7" w:rsidRDefault="00AC08B7" w:rsidP="003B5759">
      <w:pPr>
        <w:spacing w:after="0" w:line="240" w:lineRule="auto"/>
        <w:jc w:val="both"/>
        <w:rPr>
          <w:rFonts w:ascii="Times New Roman" w:eastAsia="Times New Roman" w:hAnsi="Times New Roman" w:cs="Times New Roman"/>
          <w:sz w:val="24"/>
          <w:szCs w:val="20"/>
          <w:lang w:val="en-US"/>
        </w:rPr>
      </w:pPr>
    </w:p>
    <w:p w14:paraId="58C69699" w14:textId="61F8F2FF" w:rsidR="00AC08B7" w:rsidRDefault="00AC08B7" w:rsidP="003B5759">
      <w:pPr>
        <w:spacing w:after="0" w:line="240" w:lineRule="auto"/>
        <w:jc w:val="both"/>
        <w:rPr>
          <w:rFonts w:ascii="Times New Roman" w:eastAsia="Times New Roman" w:hAnsi="Times New Roman" w:cs="Times New Roman"/>
          <w:sz w:val="24"/>
          <w:szCs w:val="20"/>
          <w:lang w:val="en-US"/>
        </w:rPr>
      </w:pPr>
      <w:r>
        <w:rPr>
          <w:rFonts w:ascii="Times New Roman" w:eastAsia="Times New Roman" w:hAnsi="Times New Roman" w:cs="Times New Roman"/>
          <w:sz w:val="24"/>
          <w:szCs w:val="20"/>
          <w:lang w:val="en-US"/>
        </w:rPr>
        <w:t xml:space="preserve">Key Words: </w:t>
      </w:r>
      <w:r w:rsidRPr="00AC08B7">
        <w:rPr>
          <w:rFonts w:ascii="Times New Roman" w:eastAsia="Times New Roman" w:hAnsi="Times New Roman" w:cs="Times New Roman"/>
          <w:sz w:val="24"/>
          <w:szCs w:val="20"/>
          <w:lang w:val="en-US"/>
        </w:rPr>
        <w:t>Degree of mastery, Science process skills, Natural Laboratory, Student</w:t>
      </w:r>
      <w:r>
        <w:rPr>
          <w:rFonts w:ascii="Times New Roman" w:eastAsia="Times New Roman" w:hAnsi="Times New Roman" w:cs="Times New Roman"/>
          <w:sz w:val="24"/>
          <w:szCs w:val="20"/>
          <w:lang w:val="en-US"/>
        </w:rPr>
        <w:t>.</w:t>
      </w:r>
    </w:p>
    <w:p w14:paraId="268F10A8" w14:textId="77777777" w:rsidR="00AC08B7" w:rsidRDefault="00AC08B7" w:rsidP="003B5759">
      <w:pPr>
        <w:spacing w:after="0" w:line="240" w:lineRule="auto"/>
        <w:jc w:val="both"/>
        <w:rPr>
          <w:rFonts w:ascii="Times New Roman" w:eastAsia="Times New Roman" w:hAnsi="Times New Roman" w:cs="Times New Roman"/>
          <w:sz w:val="24"/>
          <w:szCs w:val="20"/>
          <w:lang w:val="en-US"/>
        </w:rPr>
      </w:pPr>
    </w:p>
    <w:p w14:paraId="597EC5B6" w14:textId="77777777" w:rsidR="00AC08B7" w:rsidRPr="00AC08B7" w:rsidRDefault="00AC08B7" w:rsidP="003B5759">
      <w:pPr>
        <w:spacing w:after="0" w:line="240" w:lineRule="auto"/>
        <w:jc w:val="both"/>
        <w:rPr>
          <w:rFonts w:ascii="Times New Roman" w:eastAsia="Times New Roman" w:hAnsi="Times New Roman" w:cs="Times New Roman"/>
          <w:sz w:val="24"/>
          <w:szCs w:val="20"/>
          <w:lang w:val="en-US"/>
        </w:rPr>
      </w:pPr>
    </w:p>
    <w:p w14:paraId="07AA3C06" w14:textId="1A5E7161" w:rsidR="003B5759" w:rsidRPr="00C725DD" w:rsidRDefault="004D4337" w:rsidP="003B5759">
      <w:pPr>
        <w:spacing w:after="0" w:line="240" w:lineRule="auto"/>
        <w:jc w:val="both"/>
        <w:rPr>
          <w:rFonts w:ascii="Times New Roman" w:eastAsia="Times New Roman" w:hAnsi="Times New Roman" w:cs="Times New Roman"/>
          <w:b/>
          <w:sz w:val="24"/>
          <w:szCs w:val="20"/>
          <w:lang w:val="en-US"/>
        </w:rPr>
      </w:pPr>
      <w:r w:rsidRPr="00C725DD">
        <w:rPr>
          <w:rFonts w:ascii="Times New Roman" w:eastAsia="Times New Roman" w:hAnsi="Times New Roman" w:cs="Times New Roman"/>
          <w:b/>
          <w:sz w:val="24"/>
          <w:szCs w:val="20"/>
          <w:lang w:val="en-US"/>
        </w:rPr>
        <w:t>Abstrak</w:t>
      </w:r>
    </w:p>
    <w:p w14:paraId="28CD67FB" w14:textId="77777777" w:rsidR="003B5759" w:rsidRPr="00C725DD" w:rsidRDefault="003B5759" w:rsidP="003B5759">
      <w:pPr>
        <w:spacing w:after="0" w:line="240" w:lineRule="auto"/>
        <w:jc w:val="both"/>
        <w:rPr>
          <w:rFonts w:ascii="Times New Roman" w:eastAsia="Times New Roman" w:hAnsi="Times New Roman" w:cs="Times New Roman"/>
          <w:b/>
          <w:sz w:val="6"/>
          <w:szCs w:val="20"/>
        </w:rPr>
      </w:pPr>
    </w:p>
    <w:p w14:paraId="6B1ACBB1" w14:textId="422C4A88" w:rsidR="00ED3C3E" w:rsidRDefault="009B475A"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rPr>
      </w:pPr>
      <w:r w:rsidRPr="009B475A">
        <w:rPr>
          <w:rFonts w:ascii="Times New Roman" w:hAnsi="Times New Roman" w:cs="Times New Roman"/>
          <w:color w:val="111111"/>
          <w:szCs w:val="24"/>
        </w:rPr>
        <w:t>Keterampilan proses sains (KPS) mahasiswa yang sangat rendah mengindikasikan bahwa perlu ada inovasi pembelajaran dimasa pandemi Covid-19. Penelitian ini bertujuan untuk menganalisis efektivitas pembelajaran melalui SPADA Unram dan Laboratorium Alam terhadap KPS mahasiswa. Subjek penelitian terdiri dari 35 mahasiswa kelas 5E sore dari Prodi PGSD FKIP Universitas Mataram yang memprogramkan mata kuliah Ilmu Alamiah Dasar (IAD). Data dikumpulkan menggunakan instrumen tes yang berbentuk essay. Tes diberikan diakhir proses pembelajaran yang dilakukan selama 5 minggu. Derajat penguasaan (DP) mahasiswa terhadap KPS dasar diklasifikasi menjadi 5 kategori yaitu sangat baik, baik, cukup, kurang, dan sangat kurang. Hasil penelitian menunjukkan bahwa mahasiswa memiliki DP KPS dasar dengan kategori baik, dan berbeda secara signifikan dengan hasil tes sebelumnya. Secara berturut-turut, proporsi mahasiswa dengan kategori sangat baik, baik, dan cukup sebesar 28.57%, 34.29%, dan 11.43%. Sisanya sebanyak 2.86% masih berada pada kategori kurang, dan 22.86% kategori sangat kurang. Berdasarkan hasil ini dapat disimpulkan bahwa implementasi SPADA UNRAM dan Laboratorium Alam berdampak positif terhadap peningkatan KPS mahasiswa. Implementasi pembelajaran ini dapat menjadi salah satu solusi, namun masih memmbutuhkan penyempurnaan karena proporsi mahasiswa yang memiliki derajat penguasaan yang rendah masih besar.</w:t>
      </w:r>
    </w:p>
    <w:p w14:paraId="7A0F62EC" w14:textId="77777777" w:rsidR="00C725DD" w:rsidRPr="00C725DD" w:rsidRDefault="00C725DD"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hAnsi="Times New Roman" w:cs="Times New Roman"/>
          <w:color w:val="111111"/>
          <w:szCs w:val="24"/>
          <w:lang w:val="en-US"/>
        </w:rPr>
      </w:pPr>
    </w:p>
    <w:p w14:paraId="7E053863" w14:textId="4F488FD9" w:rsidR="003B5759" w:rsidRPr="00C725DD" w:rsidRDefault="004D4337" w:rsidP="00ED3C3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0" w:lineRule="atLeast"/>
        <w:jc w:val="both"/>
        <w:rPr>
          <w:rFonts w:ascii="Times New Roman" w:eastAsia="Times New Roman" w:hAnsi="Times New Roman" w:cs="Times New Roman"/>
          <w:i/>
          <w:sz w:val="20"/>
          <w:szCs w:val="20"/>
          <w:lang w:val="en-US"/>
        </w:rPr>
      </w:pPr>
      <w:r w:rsidRPr="00C725DD">
        <w:rPr>
          <w:rFonts w:ascii="Times New Roman" w:eastAsia="Times New Roman" w:hAnsi="Times New Roman" w:cs="Times New Roman"/>
          <w:b/>
          <w:szCs w:val="20"/>
          <w:lang w:val="en-US"/>
        </w:rPr>
        <w:t>Kata Kunci</w:t>
      </w:r>
      <w:r w:rsidR="003B5759" w:rsidRPr="00C725DD">
        <w:rPr>
          <w:rFonts w:ascii="Times New Roman" w:eastAsia="Times New Roman" w:hAnsi="Times New Roman" w:cs="Times New Roman"/>
          <w:szCs w:val="20"/>
        </w:rPr>
        <w:t xml:space="preserve">: </w:t>
      </w:r>
      <w:r w:rsidR="009B475A" w:rsidRPr="009B475A">
        <w:rPr>
          <w:rFonts w:ascii="Times New Roman" w:hAnsi="Times New Roman" w:cs="Times New Roman"/>
          <w:lang w:val="en-US"/>
        </w:rPr>
        <w:t>Derajat penguasaan, Keterampilan proses sains, Laboratorium Alam, Mahasiswa</w:t>
      </w:r>
      <w:r w:rsidR="00075C11" w:rsidRPr="00C725DD">
        <w:rPr>
          <w:rFonts w:ascii="Times New Roman" w:hAnsi="Times New Roman" w:cs="Times New Roman"/>
          <w:lang w:val="en-US"/>
        </w:rPr>
        <w:t>.</w:t>
      </w:r>
    </w:p>
    <w:p w14:paraId="6B5A9D14" w14:textId="3143328A" w:rsidR="003B5759" w:rsidRPr="00C725DD" w:rsidRDefault="002D7277" w:rsidP="009E60AA">
      <w:pPr>
        <w:spacing w:after="0" w:line="240" w:lineRule="auto"/>
        <w:rPr>
          <w:rFonts w:ascii="Times New Roman" w:hAnsi="Times New Roman" w:cs="Times New Roman"/>
          <w:noProof/>
          <w:sz w:val="10"/>
          <w:szCs w:val="24"/>
          <w:lang w:val="en-US"/>
        </w:rPr>
      </w:pPr>
      <w:r w:rsidRPr="00C725DD">
        <w:rPr>
          <w:rFonts w:ascii="Times New Roman" w:hAnsi="Times New Roman" w:cs="Times New Roman"/>
          <w:b/>
          <w:noProof/>
          <w:sz w:val="24"/>
          <w:szCs w:val="24"/>
          <w:lang w:val="en-US"/>
        </w:rPr>
        <w:lastRenderedPageBreak/>
        <w:t>PENDAHULUAN</w:t>
      </w:r>
    </w:p>
    <w:p w14:paraId="0E48FE0E" w14:textId="77777777" w:rsidR="003B5759" w:rsidRPr="00C725DD" w:rsidRDefault="003B5759" w:rsidP="003B5759">
      <w:pPr>
        <w:spacing w:after="0" w:line="240" w:lineRule="auto"/>
        <w:jc w:val="both"/>
        <w:rPr>
          <w:rFonts w:ascii="Times New Roman" w:eastAsia="Times New Roman" w:hAnsi="Times New Roman" w:cs="Times New Roman"/>
          <w:color w:val="FF0000"/>
          <w:sz w:val="10"/>
        </w:rPr>
      </w:pPr>
    </w:p>
    <w:p w14:paraId="614EA835" w14:textId="6ECB3047" w:rsidR="009B475A" w:rsidRPr="009B475A" w:rsidRDefault="009B475A" w:rsidP="00DC217B">
      <w:pPr>
        <w:spacing w:after="0" w:line="240" w:lineRule="auto"/>
        <w:ind w:firstLine="720"/>
        <w:jc w:val="both"/>
        <w:rPr>
          <w:rFonts w:ascii="Times New Roman" w:hAnsi="Times New Roman" w:cs="Times New Roman"/>
          <w:sz w:val="24"/>
          <w:szCs w:val="24"/>
          <w:lang w:val="en-US"/>
        </w:rPr>
      </w:pPr>
      <w:r w:rsidRPr="009B475A">
        <w:rPr>
          <w:rFonts w:ascii="Times New Roman" w:hAnsi="Times New Roman" w:cs="Times New Roman"/>
          <w:sz w:val="24"/>
          <w:szCs w:val="24"/>
          <w:lang w:val="en-US"/>
        </w:rPr>
        <w:t>Sebelum masa pandemi, pembelajaran matakuliah IAD dilakukan secara tatap muka. Pembelajaran konvensional yang diimplementasikan di antaranya pembelajaran langsung. Pada model pembelajaran ini, dosen memfasilitasi mahasiswa melalui penayangan bahan ajar dengan memanfaatkan LCD. Bahan ajar yang ditayangkan dapat berbentuk video, dan yang paling umum adalah power point (</w:t>
      </w:r>
      <w:r w:rsidR="00F776F2" w:rsidRPr="009B475A">
        <w:rPr>
          <w:rFonts w:ascii="Times New Roman" w:hAnsi="Times New Roman" w:cs="Times New Roman"/>
          <w:sz w:val="24"/>
          <w:szCs w:val="24"/>
          <w:lang w:val="en-US"/>
        </w:rPr>
        <w:t>PPT</w:t>
      </w:r>
      <w:r w:rsidRPr="009B475A">
        <w:rPr>
          <w:rFonts w:ascii="Times New Roman" w:hAnsi="Times New Roman" w:cs="Times New Roman"/>
          <w:sz w:val="24"/>
          <w:szCs w:val="24"/>
          <w:lang w:val="en-US"/>
        </w:rPr>
        <w:t>). Bahan ajar tersebut dirangkum dari berbagai sumber kredibel seperti buku, dan artikel yang dipublikasi melalui jurnal. Walaupun di tengah proses pembelajaran ada momen yang menunjukkan keaktifan siswa melalui proses tanya jawab dan diskusi, namun secara keseluruhan dosen lebih mendominasi. Pembelajaran konvensional lainnya adalah mahasiswa secara berkelompok menyusun makalah terkait satu topik tertentu, kemudian secara bergiliran mempresentasikan hasil karya tulis tersebut di depan kelas. Pada prosesnya, setelah makalah dipresentasikan selama 15 – 30 menit dilakukan tanya jawab dan diskusi. Jika diperlukan, dosen akan memberikan tambahan dan penguatan yang umumnya dilakukan di bagian akhir pembelajaran. Mahasiswa terbiasa dan merasa nyaman difasilitasi dengan pembelajaran konvensional tersebut. Ini terbukti dengan nilai akhir mereka yang bagus, dan tidak perlu mengulang atau mengambil kuliah semester pendek untuk perbaikan.</w:t>
      </w:r>
    </w:p>
    <w:p w14:paraId="2197EE38" w14:textId="574D3960" w:rsidR="009B475A" w:rsidRPr="009B475A" w:rsidRDefault="009B475A" w:rsidP="00DC217B">
      <w:pPr>
        <w:spacing w:after="0" w:line="240" w:lineRule="auto"/>
        <w:ind w:firstLine="720"/>
        <w:jc w:val="both"/>
        <w:rPr>
          <w:rFonts w:ascii="Times New Roman" w:hAnsi="Times New Roman" w:cs="Times New Roman"/>
          <w:sz w:val="24"/>
          <w:szCs w:val="24"/>
          <w:lang w:val="en-US"/>
        </w:rPr>
      </w:pPr>
      <w:r w:rsidRPr="009B475A">
        <w:rPr>
          <w:rFonts w:ascii="Times New Roman" w:hAnsi="Times New Roman" w:cs="Times New Roman"/>
          <w:sz w:val="24"/>
          <w:szCs w:val="24"/>
          <w:lang w:val="en-US"/>
        </w:rPr>
        <w:t>Sejak tidak memungkinkannya pembelajaran secara tatap muka di kelas karena pandemi covid-19, maka pembelajaran konvensional tidak bisa diterapkan secara utuh. Walaupun tatap muka bisa dilakukan secara virtual melalui berbagai platform seperti zoom, google meet, dan lain-lain, namun sensasi yang dirasakan oleh dosen dan mahasiswa tetap berbeda karena belum terbiasa. Perubahan pola pembelajaran dari luring ke daring membutuhkan aklimatisasi dan adpatasi, baik untuk pebelajar maupun fasilitator. Beberapa kendala pembelajaran daring di antaranya jaringan/koneksi internet yang stabil terdistribusi secara tidak merata, kuota internet yang tidak cukup, literasi ICT yang masih kurang pada sebagian dosen dan mahasiswa, dan rasa jenuh pada pembe</w:t>
      </w:r>
      <w:r w:rsidR="00F776F2">
        <w:rPr>
          <w:rFonts w:ascii="Times New Roman" w:hAnsi="Times New Roman" w:cs="Times New Roman"/>
          <w:sz w:val="24"/>
          <w:szCs w:val="24"/>
          <w:lang w:val="en-US"/>
        </w:rPr>
        <w:t xml:space="preserve">lajaran online </w:t>
      </w:r>
      <w:r w:rsidR="00F776F2">
        <w:rPr>
          <w:rFonts w:ascii="Times New Roman" w:hAnsi="Times New Roman" w:cs="Times New Roman"/>
          <w:sz w:val="24"/>
          <w:szCs w:val="24"/>
          <w:lang w:val="en-US"/>
        </w:rPr>
        <w:fldChar w:fldCharType="begin" w:fldLock="1"/>
      </w:r>
      <w:r w:rsidR="00F776F2">
        <w:rPr>
          <w:rFonts w:ascii="Times New Roman" w:hAnsi="Times New Roman" w:cs="Times New Roman"/>
          <w:sz w:val="24"/>
          <w:szCs w:val="24"/>
          <w:lang w:val="en-US"/>
        </w:rPr>
        <w:instrText>ADDIN CSL_CITATION {"citationItems":[{"id":"ITEM-1","itemData":{"author":[{"dropping-particle":"","family":"Indrawati","given":"Budi","non-dropping-particle":"","parse-names":false,"suffix":""}],"container-title":"Jurnal Kajian Ilmiah","id":"ITEM-1","issue":"1","issued":{"date-parts":[["2020"]]},"page":"39-48","title":"Tantangan dan peluang Pendidikan Tinggi dalam masa pandemi Covid-19","type":"article-journal","volume":"1"},"uris":["http://www.mendeley.com/documents/?uuid=6f274007-06dd-4d6c-9dca-448f7daf4daf"]}],"mendeley":{"formattedCitation":"(Indrawati, 2020)","plainTextFormattedCitation":"(Indrawati, 2020)","previouslyFormattedCitation":"(Indrawati, 2020)"},"properties":{"noteIndex":0},"schema":"https://github.com/citation-style-language/schema/raw/master/csl-citation.json"}</w:instrText>
      </w:r>
      <w:r w:rsidR="00F776F2">
        <w:rPr>
          <w:rFonts w:ascii="Times New Roman" w:hAnsi="Times New Roman" w:cs="Times New Roman"/>
          <w:sz w:val="24"/>
          <w:szCs w:val="24"/>
          <w:lang w:val="en-US"/>
        </w:rPr>
        <w:fldChar w:fldCharType="separate"/>
      </w:r>
      <w:r w:rsidR="00F776F2" w:rsidRPr="00F776F2">
        <w:rPr>
          <w:rFonts w:ascii="Times New Roman" w:hAnsi="Times New Roman" w:cs="Times New Roman"/>
          <w:noProof/>
          <w:sz w:val="24"/>
          <w:szCs w:val="24"/>
          <w:lang w:val="en-US"/>
        </w:rPr>
        <w:t>(Indrawati, 2020)</w:t>
      </w:r>
      <w:r w:rsidR="00F776F2">
        <w:rPr>
          <w:rFonts w:ascii="Times New Roman" w:hAnsi="Times New Roman" w:cs="Times New Roman"/>
          <w:sz w:val="24"/>
          <w:szCs w:val="24"/>
          <w:lang w:val="en-US"/>
        </w:rPr>
        <w:fldChar w:fldCharType="end"/>
      </w:r>
      <w:r w:rsidRPr="009B475A">
        <w:rPr>
          <w:rFonts w:ascii="Times New Roman" w:hAnsi="Times New Roman" w:cs="Times New Roman"/>
          <w:sz w:val="24"/>
          <w:szCs w:val="24"/>
          <w:lang w:val="en-US"/>
        </w:rPr>
        <w:t xml:space="preserve">. Di Program Stuid PGSD FKIP Universitas Mataram, persepsi mahasiswa terhadap pembelajaran daring cenderung </w:t>
      </w:r>
      <w:r w:rsidR="00F776F2">
        <w:rPr>
          <w:rFonts w:ascii="Times New Roman" w:hAnsi="Times New Roman" w:cs="Times New Roman"/>
          <w:sz w:val="24"/>
          <w:szCs w:val="24"/>
          <w:lang w:val="en-US"/>
        </w:rPr>
        <w:t xml:space="preserve">negatif </w:t>
      </w:r>
      <w:r w:rsidR="00F776F2">
        <w:rPr>
          <w:rFonts w:ascii="Times New Roman" w:hAnsi="Times New Roman" w:cs="Times New Roman"/>
          <w:sz w:val="24"/>
          <w:szCs w:val="24"/>
          <w:lang w:val="en-US"/>
        </w:rPr>
        <w:fldChar w:fldCharType="begin" w:fldLock="1"/>
      </w:r>
      <w:r w:rsidR="00F776F2">
        <w:rPr>
          <w:rFonts w:ascii="Times New Roman" w:hAnsi="Times New Roman" w:cs="Times New Roman"/>
          <w:sz w:val="24"/>
          <w:szCs w:val="24"/>
          <w:lang w:val="en-US"/>
        </w:rPr>
        <w:instrText>ADDIN CSL_CITATION {"citationItems":[{"id":"ITEM-1","itemData":{"author":[{"dropping-particle":"","family":"Rahmatih","given":"Aisa Nikmah","non-dropping-particle":"","parse-names":false,"suffix":""},{"dropping-particle":"","family":"Fauzi","given":"Asri","non-dropping-particle":"","parse-names":false,"suffix":""}],"container-title":"MODELING: Jurnal Program Studi PGMI","id":"ITEM-1","issue":"2","issued":{"date-parts":[["2020"]]},"page":"143-153","title":"Persepsi mahasiswa calon guru sekolah dasar dalam menanggapi perkuliahan secara daring selama masa Covid-19","type":"article-journal","volume":"7"},"uris":["http://www.mendeley.com/documents/?uuid=4093f561-9bad-419e-9269-d7ecaa62db46"]}],"mendeley":{"formattedCitation":"(Rahmatih &amp; Fauzi, 2020)","plainTextFormattedCitation":"(Rahmatih &amp; Fauzi, 2020)","previouslyFormattedCitation":"(Rahmatih &amp; Fauzi, 2020)"},"properties":{"noteIndex":0},"schema":"https://github.com/citation-style-language/schema/raw/master/csl-citation.json"}</w:instrText>
      </w:r>
      <w:r w:rsidR="00F776F2">
        <w:rPr>
          <w:rFonts w:ascii="Times New Roman" w:hAnsi="Times New Roman" w:cs="Times New Roman"/>
          <w:sz w:val="24"/>
          <w:szCs w:val="24"/>
          <w:lang w:val="en-US"/>
        </w:rPr>
        <w:fldChar w:fldCharType="separate"/>
      </w:r>
      <w:r w:rsidR="00F776F2" w:rsidRPr="00F776F2">
        <w:rPr>
          <w:rFonts w:ascii="Times New Roman" w:hAnsi="Times New Roman" w:cs="Times New Roman"/>
          <w:noProof/>
          <w:sz w:val="24"/>
          <w:szCs w:val="24"/>
          <w:lang w:val="en-US"/>
        </w:rPr>
        <w:t>(Rahmatih &amp; Fauzi, 2020)</w:t>
      </w:r>
      <w:r w:rsidR="00F776F2">
        <w:rPr>
          <w:rFonts w:ascii="Times New Roman" w:hAnsi="Times New Roman" w:cs="Times New Roman"/>
          <w:sz w:val="24"/>
          <w:szCs w:val="24"/>
          <w:lang w:val="en-US"/>
        </w:rPr>
        <w:fldChar w:fldCharType="end"/>
      </w:r>
      <w:r w:rsidRPr="009B475A">
        <w:rPr>
          <w:rFonts w:ascii="Times New Roman" w:hAnsi="Times New Roman" w:cs="Times New Roman"/>
          <w:sz w:val="24"/>
          <w:szCs w:val="24"/>
          <w:lang w:val="en-US"/>
        </w:rPr>
        <w:t>. Kendala-kendala tersebut berdampak pada rendahnya hasil belajar mahasiswa. Berdasarkan evaluasi terhadap pembelajaran daring melalui SPADA Unram pada dua topik mata kuliah IAD, derajat penguasaan KPS mahasiswa masih sangat rendah. Rata-rata derajat penguasaan hanya 36.17 dengan nilai E. Hal ini mengindikasikan perlu adanya inovasi pembelajaran.</w:t>
      </w:r>
    </w:p>
    <w:p w14:paraId="2147273E" w14:textId="6EE3B5DF" w:rsidR="005A266C" w:rsidRPr="0020313F" w:rsidRDefault="009B475A" w:rsidP="00DC217B">
      <w:pPr>
        <w:spacing w:after="0" w:line="240" w:lineRule="auto"/>
        <w:ind w:firstLine="720"/>
        <w:jc w:val="both"/>
        <w:rPr>
          <w:rFonts w:ascii="Times New Roman" w:hAnsi="Times New Roman" w:cs="Times New Roman"/>
          <w:sz w:val="24"/>
          <w:szCs w:val="24"/>
          <w:lang w:val="en-US"/>
        </w:rPr>
      </w:pPr>
      <w:r w:rsidRPr="009B475A">
        <w:rPr>
          <w:rFonts w:ascii="Times New Roman" w:hAnsi="Times New Roman" w:cs="Times New Roman"/>
          <w:sz w:val="24"/>
          <w:szCs w:val="24"/>
          <w:lang w:val="en-US"/>
        </w:rPr>
        <w:t>Sebenarnya, mahasiswa mendapat kemudahan dari pembelajaran daring melalui SPADA Unram yang tidak mereka dapatkan pada pembelajaran tatap muka. SPADA Unram bisa diakses tanpa dibatasi tempat dan waktu, asalkan ada kuota dan jaringan internet. Belajar tanpa ada batas jarak yang menjadi karakteristik pendidikan masa depan menjadi terwujud. Pembelajaran daring ini juga dapat menjadi momentum yang tepat untuk melatih kemandirian belajar mahasiswa. Namun berdasarkan fakta-fakta yang ada, mahasiswa membutuhkan waktu untuk beradaptasi terhadap pola pembelajaran yang baru dan mendadak karena pandemi. Selain itu, diperlukan pembelajaran yang melatih mahasiswa untuk memecahkan masalah sains menggunakan metode saintifik</w:t>
      </w:r>
      <w:r w:rsidR="00F776F2">
        <w:rPr>
          <w:rFonts w:ascii="Times New Roman" w:hAnsi="Times New Roman" w:cs="Times New Roman"/>
          <w:sz w:val="24"/>
          <w:szCs w:val="24"/>
          <w:lang w:val="en-US"/>
        </w:rPr>
        <w:t xml:space="preserve"> </w:t>
      </w:r>
      <w:r w:rsidR="00F776F2">
        <w:rPr>
          <w:rFonts w:ascii="Times New Roman" w:hAnsi="Times New Roman" w:cs="Times New Roman"/>
          <w:sz w:val="24"/>
          <w:szCs w:val="24"/>
          <w:lang w:val="en-US"/>
        </w:rPr>
        <w:fldChar w:fldCharType="begin" w:fldLock="1"/>
      </w:r>
      <w:r w:rsidR="00852599">
        <w:rPr>
          <w:rFonts w:ascii="Times New Roman" w:hAnsi="Times New Roman" w:cs="Times New Roman"/>
          <w:sz w:val="24"/>
          <w:szCs w:val="24"/>
          <w:lang w:val="en-US"/>
        </w:rPr>
        <w:instrText>ADDIN CSL_CITATION {"citationItems":[{"id":"ITEM-1","itemData":{"author":[{"dropping-particle":"","family":"Can","given":"Bilge","non-dropping-particle":"","parse-names":false,"suffix":""},{"dropping-particle":"","family":"Yildiz-Demirtas","given":"Vesile","non-dropping-particle":"","parse-names":false,"suffix":""},{"dropping-particle":"","family":"Altun","given":"Erdi","non-dropping-particle":"","parse-names":false,"suffix":""}],"container-title":"Journal of Baltic Science Education","id":"ITEM-1","issue":"3","issued":{"date-parts":[["2017"]]},"page":"395-413","title":"The effect of project- based science education programme on scientific process skills and conceptions of Kindergarten students","type":"article-journal","volume":"16"},"uris":["http://www.mendeley.com/documents/?uuid=d536a1bb-7e8e-4699-842f-a9d194128296"]},{"id":"ITEM-2","itemData":{"DOI":"10.29333/iji.2019.12177a","author":[{"dropping-particle":"","family":"Duda","given":"Hilarius Jago","non-dropping-particle":"","parse-names":false,"suffix":""},{"dropping-particle":"","family":"Herawati Susilo","given":"","non-dropping-particle":"","parse-names":false,"suffix":""},{"dropping-particle":"","family":"Newcombe","given":"Peter","non-dropping-particle":"","parse-names":false,"suffix":""}],"container-title":"International Journal of Instruction","id":"ITEM-2","issue":"1","issued":{"date-parts":[["2019"]]},"page":"1207-1222","title":"Enhancing different ethnicity science process skills: problem-based learning through practicum and authentic assessment","type":"article-journal","volume":"12"},"uris":["http://www.mendeley.com/documents/?uuid=f9fa8190-0675-4f7a-9098-802bbed08d9b"]}],"mendeley":{"formattedCitation":"(Can et al., 2017; Duda et al., 2019)","plainTextFormattedCitation":"(Can et al., 2017; Duda et al., 2019)","previouslyFormattedCitation":"(Can et al., 2017; Duda et al., 2019)"},"properties":{"noteIndex":0},"schema":"https://github.com/citation-style-language/schema/raw/master/csl-citation.json"}</w:instrText>
      </w:r>
      <w:r w:rsidR="00F776F2">
        <w:rPr>
          <w:rFonts w:ascii="Times New Roman" w:hAnsi="Times New Roman" w:cs="Times New Roman"/>
          <w:sz w:val="24"/>
          <w:szCs w:val="24"/>
          <w:lang w:val="en-US"/>
        </w:rPr>
        <w:fldChar w:fldCharType="separate"/>
      </w:r>
      <w:r w:rsidR="00F776F2" w:rsidRPr="00F776F2">
        <w:rPr>
          <w:rFonts w:ascii="Times New Roman" w:hAnsi="Times New Roman" w:cs="Times New Roman"/>
          <w:noProof/>
          <w:sz w:val="24"/>
          <w:szCs w:val="24"/>
          <w:lang w:val="en-US"/>
        </w:rPr>
        <w:t>(Can et al., 2017; Duda et al., 2019)</w:t>
      </w:r>
      <w:r w:rsidR="00F776F2">
        <w:rPr>
          <w:rFonts w:ascii="Times New Roman" w:hAnsi="Times New Roman" w:cs="Times New Roman"/>
          <w:sz w:val="24"/>
          <w:szCs w:val="24"/>
          <w:lang w:val="en-US"/>
        </w:rPr>
        <w:fldChar w:fldCharType="end"/>
      </w:r>
      <w:r w:rsidRPr="009B475A">
        <w:rPr>
          <w:rFonts w:ascii="Times New Roman" w:hAnsi="Times New Roman" w:cs="Times New Roman"/>
          <w:sz w:val="24"/>
          <w:szCs w:val="24"/>
          <w:lang w:val="en-US"/>
        </w:rPr>
        <w:t>. Metode sanintifik yang dimaksud di sini adalah melakukan pengkajian melalui pengamatan dan pengukuran. Pada penelitian ini, kami mengimplementasikan pembelajaran di luar kelas dengan memanfaatkan lingkungan sekitar tempat tinggal sebagai Laboratorium Alam, dan SPADA Unram sebagai platform pembelajaran daring. Tujuan dari penelitian ini adalah menganalisis efektivitas pembelajaran campuran (daring dan luring) tersebut dalam meningkatkan KPS mahasiswa.</w:t>
      </w:r>
    </w:p>
    <w:p w14:paraId="335BBF24" w14:textId="77777777" w:rsidR="009B475A" w:rsidRPr="00C725DD" w:rsidRDefault="009B475A" w:rsidP="003B5759">
      <w:pPr>
        <w:spacing w:after="0" w:line="240" w:lineRule="auto"/>
        <w:jc w:val="both"/>
        <w:rPr>
          <w:rFonts w:ascii="Times New Roman" w:hAnsi="Times New Roman" w:cs="Times New Roman"/>
          <w:sz w:val="24"/>
          <w:szCs w:val="24"/>
          <w:lang w:val="en-US"/>
        </w:rPr>
      </w:pPr>
    </w:p>
    <w:p w14:paraId="6F73B84C" w14:textId="77777777" w:rsidR="00AC08B7" w:rsidRDefault="00AC08B7" w:rsidP="002857CE">
      <w:pPr>
        <w:spacing w:after="0" w:line="240" w:lineRule="auto"/>
        <w:jc w:val="both"/>
        <w:rPr>
          <w:rFonts w:ascii="Times New Roman" w:hAnsi="Times New Roman" w:cs="Times New Roman"/>
          <w:b/>
          <w:sz w:val="24"/>
          <w:lang w:val="en-US"/>
        </w:rPr>
      </w:pPr>
    </w:p>
    <w:p w14:paraId="45722C00" w14:textId="77777777" w:rsidR="00AC08B7" w:rsidRDefault="00AC08B7" w:rsidP="002857CE">
      <w:pPr>
        <w:spacing w:after="0" w:line="240" w:lineRule="auto"/>
        <w:jc w:val="both"/>
        <w:rPr>
          <w:rFonts w:ascii="Times New Roman" w:hAnsi="Times New Roman" w:cs="Times New Roman"/>
          <w:b/>
          <w:sz w:val="24"/>
          <w:lang w:val="en-US"/>
        </w:rPr>
      </w:pPr>
    </w:p>
    <w:p w14:paraId="1CCF279E" w14:textId="6031BDC4" w:rsidR="003B5759" w:rsidRPr="00C725DD" w:rsidRDefault="00040F6F" w:rsidP="002857CE">
      <w:pPr>
        <w:spacing w:after="0" w:line="240" w:lineRule="auto"/>
        <w:jc w:val="both"/>
        <w:rPr>
          <w:rFonts w:ascii="Times New Roman" w:eastAsia="Times New Roman" w:hAnsi="Times New Roman" w:cs="Times New Roman"/>
          <w:caps/>
          <w:sz w:val="24"/>
        </w:rPr>
      </w:pPr>
      <w:r w:rsidRPr="00C725DD">
        <w:rPr>
          <w:rFonts w:ascii="Times New Roman" w:hAnsi="Times New Roman" w:cs="Times New Roman"/>
          <w:b/>
          <w:sz w:val="24"/>
          <w:lang w:val="en-US"/>
        </w:rPr>
        <w:lastRenderedPageBreak/>
        <w:t>METODE</w:t>
      </w:r>
    </w:p>
    <w:p w14:paraId="522FA520" w14:textId="77777777" w:rsidR="003B5759" w:rsidRPr="00C725DD" w:rsidRDefault="003B5759" w:rsidP="003B5759">
      <w:pPr>
        <w:tabs>
          <w:tab w:val="left" w:pos="567"/>
        </w:tabs>
        <w:spacing w:after="0" w:line="240" w:lineRule="auto"/>
        <w:jc w:val="both"/>
        <w:rPr>
          <w:rFonts w:ascii="Times New Roman" w:hAnsi="Times New Roman" w:cs="Times New Roman"/>
          <w:color w:val="FF0000"/>
          <w:sz w:val="10"/>
          <w:lang w:val="en-US"/>
        </w:rPr>
      </w:pPr>
    </w:p>
    <w:p w14:paraId="6E57AD8B" w14:textId="77777777" w:rsidR="009B475A" w:rsidRPr="009B475A" w:rsidRDefault="009B475A" w:rsidP="00DC217B">
      <w:pPr>
        <w:spacing w:after="0" w:line="240" w:lineRule="auto"/>
        <w:ind w:firstLine="720"/>
        <w:jc w:val="both"/>
        <w:rPr>
          <w:rFonts w:ascii="Times New Roman" w:hAnsi="Times New Roman" w:cs="Times New Roman"/>
          <w:sz w:val="24"/>
          <w:szCs w:val="24"/>
        </w:rPr>
      </w:pPr>
      <w:r w:rsidRPr="009B475A">
        <w:rPr>
          <w:rFonts w:ascii="Times New Roman" w:hAnsi="Times New Roman" w:cs="Times New Roman"/>
          <w:sz w:val="24"/>
          <w:szCs w:val="24"/>
        </w:rPr>
        <w:t xml:space="preserve">Penelitian ini menggunakan rancangan pre eksperimen. Subjek penelitian terdiri dari 35 mahasiswa kelas 5E sore yang memprogramkan mata kuliah IAD di Prodi PGSD, FKIP Universitas Mataram. Treatment yang diberikan kepada subjek penelitian adalah implementasi pembelajaran campuran antara pembelajaran daring dan pembelajaran luring. Pembelajaran daring menggunakan SPADA Unram, dan pembelajaran luring dilaksanakan dengan memanfaatkan lingkungan sekitar tempat tinggal mahasiswa sebagai Laboratorium Alam. Topik yang dibelajarkan adalah ekosistem. Pada pelaksanaannya, melalui SPADA Unram mahasiswa difasilitasi dengan beberapa menu. Menu-menu tersebut adalah folder media pembelajaran, virtual conference (vicon), forum diskusi, menu submit hasil kerja, dan Quis. Pembelajaran di Laboratorium Alam dilakukan secara kelompok dengan anggota 1 – 4 mahasiswa. Tiap kelompok diberikan kesempatan untuk belajar maksimal sebanyak 4 kali. Sebagai panduan, mahasiswa diberikan Pedoman Pembelajaran di Alam. Mahasiswa juga dibekali dengan template Lembar Hasil Pengamatan (LHP), dan Lembar Kerja Mahasiswa (LKM) untuk mempermudah mahasiswa dalam memecahkan problem sains. Hasil belajar tersebut kemudian ditulis dalam bentuk laporan berdasarkan </w:t>
      </w:r>
      <w:r w:rsidRPr="00FC592E">
        <w:rPr>
          <w:rFonts w:ascii="Times New Roman" w:hAnsi="Times New Roman" w:cs="Times New Roman"/>
          <w:i/>
          <w:sz w:val="24"/>
          <w:szCs w:val="24"/>
        </w:rPr>
        <w:t>template</w:t>
      </w:r>
      <w:r w:rsidRPr="009B475A">
        <w:rPr>
          <w:rFonts w:ascii="Times New Roman" w:hAnsi="Times New Roman" w:cs="Times New Roman"/>
          <w:sz w:val="24"/>
          <w:szCs w:val="24"/>
        </w:rPr>
        <w:t>.</w:t>
      </w:r>
    </w:p>
    <w:p w14:paraId="5C7EF3CB" w14:textId="34A9B245" w:rsidR="008114C0" w:rsidRPr="0020313F" w:rsidRDefault="009B475A" w:rsidP="00DC217B">
      <w:pPr>
        <w:spacing w:after="0" w:line="240" w:lineRule="auto"/>
        <w:ind w:firstLine="720"/>
        <w:jc w:val="both"/>
        <w:rPr>
          <w:rFonts w:ascii="Times New Roman" w:hAnsi="Times New Roman" w:cs="Times New Roman"/>
          <w:sz w:val="24"/>
          <w:szCs w:val="24"/>
          <w:lang w:val="en-US"/>
        </w:rPr>
      </w:pPr>
      <w:r w:rsidRPr="009B475A">
        <w:rPr>
          <w:rFonts w:ascii="Times New Roman" w:hAnsi="Times New Roman" w:cs="Times New Roman"/>
          <w:sz w:val="24"/>
          <w:szCs w:val="24"/>
        </w:rPr>
        <w:t>Koleksi data KPS dasar dilakukan melalui quiz di akhir pembelajaran. Instrumen yang digunakan adalah tes uraian yang berjumlah 6 item. Item soal disesuaikan dengan topik pembelajaran, dan indikator KPS dasar yaitu mengobservasi, mengklasifikasi, mengukur, mengkomunikasi, memprediksi, dan menyimpulkan. Analisis data menggunakan statistik deskriptif dan inferensial. Statistik deskriptif digunakan untuk mengetahui gambaran terkait derajat KPS mahasiswa. Derajat KPS mahasiswa diklasifikasikan menjadi 5 kategori yaitu (1) sangat baik, (2) baik, (3) cukup, (4) kurang, dan (5) sangat kurang. Statistik inferensial yang digunakan adalah uji beda paired sample t-test untuk menguji hipotesis. Ada 2 hipotesis yang diuji yaitu (1) ada perbedaan rata-rata derajat penguasaan KPS mehasiswa, dan (2) ada perbedaan rata-rata derajat penguasaan mahasiswa terhadap tiap indikator KPS.</w:t>
      </w:r>
    </w:p>
    <w:p w14:paraId="056538A4" w14:textId="77777777" w:rsidR="003640C3" w:rsidRDefault="003640C3" w:rsidP="00040F6F">
      <w:pPr>
        <w:spacing w:after="0" w:line="240" w:lineRule="auto"/>
        <w:jc w:val="both"/>
        <w:rPr>
          <w:rFonts w:ascii="Times New Roman" w:hAnsi="Times New Roman" w:cs="Times New Roman"/>
          <w:sz w:val="24"/>
          <w:szCs w:val="24"/>
          <w:lang w:val="en-US"/>
        </w:rPr>
      </w:pPr>
    </w:p>
    <w:p w14:paraId="480EE786" w14:textId="77777777" w:rsidR="00AC08B7" w:rsidRPr="00AC08B7" w:rsidRDefault="00AC08B7" w:rsidP="00040F6F">
      <w:pPr>
        <w:spacing w:after="0" w:line="240" w:lineRule="auto"/>
        <w:jc w:val="both"/>
        <w:rPr>
          <w:rFonts w:ascii="Times New Roman" w:hAnsi="Times New Roman" w:cs="Times New Roman"/>
          <w:sz w:val="24"/>
          <w:szCs w:val="24"/>
          <w:lang w:val="en-US"/>
        </w:rPr>
      </w:pPr>
    </w:p>
    <w:p w14:paraId="002823EE" w14:textId="3CC1471B" w:rsidR="00A445B3" w:rsidRPr="00C725DD" w:rsidRDefault="00040F6F" w:rsidP="00742467">
      <w:pPr>
        <w:spacing w:after="0" w:line="240" w:lineRule="auto"/>
        <w:jc w:val="both"/>
        <w:rPr>
          <w:rFonts w:ascii="Times New Roman" w:hAnsi="Times New Roman" w:cs="Times New Roman"/>
          <w:b/>
          <w:lang w:val="en-US"/>
        </w:rPr>
      </w:pPr>
      <w:r w:rsidRPr="00C725DD">
        <w:rPr>
          <w:rFonts w:ascii="Times New Roman" w:hAnsi="Times New Roman" w:cs="Times New Roman"/>
          <w:b/>
          <w:sz w:val="24"/>
          <w:szCs w:val="24"/>
          <w:lang w:val="en-US"/>
        </w:rPr>
        <w:t>HASIL DAN DISKUSI</w:t>
      </w:r>
    </w:p>
    <w:p w14:paraId="1EF706DA" w14:textId="77777777" w:rsidR="00A445B3" w:rsidRPr="00C725DD" w:rsidRDefault="00A445B3" w:rsidP="00A445B3">
      <w:pPr>
        <w:spacing w:after="0" w:line="240" w:lineRule="auto"/>
        <w:jc w:val="both"/>
        <w:rPr>
          <w:rFonts w:ascii="Times New Roman" w:hAnsi="Times New Roman" w:cs="Times New Roman"/>
          <w:sz w:val="10"/>
          <w:lang w:val="en-US"/>
        </w:rPr>
      </w:pPr>
    </w:p>
    <w:p w14:paraId="05CEA52E" w14:textId="1CE9B831" w:rsidR="005A266C" w:rsidRPr="00C725DD" w:rsidRDefault="00040F6F" w:rsidP="005A266C">
      <w:pPr>
        <w:spacing w:after="0" w:line="240" w:lineRule="auto"/>
        <w:jc w:val="both"/>
        <w:rPr>
          <w:rFonts w:ascii="Times New Roman" w:hAnsi="Times New Roman" w:cs="Times New Roman"/>
          <w:b/>
          <w:sz w:val="24"/>
          <w:szCs w:val="24"/>
          <w:lang w:val="en-US"/>
        </w:rPr>
      </w:pPr>
      <w:r w:rsidRPr="00C725DD">
        <w:rPr>
          <w:rFonts w:ascii="Times New Roman" w:hAnsi="Times New Roman" w:cs="Times New Roman"/>
          <w:b/>
          <w:sz w:val="24"/>
          <w:szCs w:val="24"/>
          <w:lang w:val="en-US"/>
        </w:rPr>
        <w:t>Hasil</w:t>
      </w:r>
    </w:p>
    <w:p w14:paraId="63A37840" w14:textId="77777777" w:rsidR="005A266C" w:rsidRPr="00C725DD" w:rsidRDefault="005A266C" w:rsidP="005A266C">
      <w:pPr>
        <w:spacing w:after="0" w:line="240" w:lineRule="auto"/>
        <w:jc w:val="both"/>
        <w:rPr>
          <w:rFonts w:ascii="Times New Roman" w:hAnsi="Times New Roman" w:cs="Times New Roman"/>
          <w:sz w:val="10"/>
          <w:szCs w:val="24"/>
        </w:rPr>
      </w:pPr>
    </w:p>
    <w:p w14:paraId="081848D0" w14:textId="05E4E1C5" w:rsidR="009B475A" w:rsidRPr="009B475A" w:rsidRDefault="009B475A" w:rsidP="009B475A">
      <w:pPr>
        <w:spacing w:after="0" w:line="240" w:lineRule="auto"/>
        <w:ind w:firstLine="720"/>
        <w:jc w:val="both"/>
        <w:rPr>
          <w:rFonts w:ascii="Times New Roman" w:hAnsi="Times New Roman" w:cs="Times New Roman"/>
          <w:sz w:val="24"/>
          <w:szCs w:val="24"/>
        </w:rPr>
      </w:pPr>
      <w:r w:rsidRPr="009B475A">
        <w:rPr>
          <w:rFonts w:ascii="Times New Roman" w:hAnsi="Times New Roman" w:cs="Times New Roman"/>
          <w:sz w:val="24"/>
          <w:szCs w:val="24"/>
        </w:rPr>
        <w:t xml:space="preserve">Evaluasi terhadap KPS dasar mahasiswa diakhir pembelajaran IAD Topik Ekosistem menunjukkan kategori baik dengan derajat penguasaan sebesar 66.20. Sebanyak 28.57% mahasiswa memiliki derajat penguasaan KPS dengan kategori sangat baik, 34.29% kategori baik, dan 11.43% kategori cukup. Sisanya sebanyak 2.86% masih berada pada kategori kurang, dan 22.86% kategori sangat kurang. Secara deskriptif, perbedaan hasil pembelajaran sebelumnya dan hasil pembelajaran ini dapat diamati pada Gambar 2. Uji beda menggunakan </w:t>
      </w:r>
      <w:r w:rsidRPr="009B475A">
        <w:rPr>
          <w:rFonts w:ascii="Times New Roman" w:hAnsi="Times New Roman" w:cs="Times New Roman"/>
          <w:i/>
          <w:sz w:val="24"/>
          <w:szCs w:val="24"/>
        </w:rPr>
        <w:t>paired sample t-test</w:t>
      </w:r>
      <w:r w:rsidRPr="009B475A">
        <w:rPr>
          <w:rFonts w:ascii="Times New Roman" w:hAnsi="Times New Roman" w:cs="Times New Roman"/>
          <w:sz w:val="24"/>
          <w:szCs w:val="24"/>
        </w:rPr>
        <w:t xml:space="preserve"> menunjukkan bahwa terdapat perbedaan yang signifikan pada KPS dasar mahasiswa (</w:t>
      </w:r>
      <w:r w:rsidRPr="009B475A">
        <w:rPr>
          <w:rFonts w:ascii="Times New Roman" w:hAnsi="Times New Roman" w:cs="Times New Roman"/>
          <w:i/>
          <w:sz w:val="24"/>
          <w:szCs w:val="24"/>
        </w:rPr>
        <w:t>p</w:t>
      </w:r>
      <w:r w:rsidR="00852599">
        <w:rPr>
          <w:rFonts w:ascii="Times New Roman" w:hAnsi="Times New Roman" w:cs="Times New Roman"/>
          <w:i/>
          <w:sz w:val="24"/>
          <w:szCs w:val="24"/>
          <w:lang w:val="en-US"/>
        </w:rPr>
        <w:t xml:space="preserve"> </w:t>
      </w:r>
      <w:r w:rsidRPr="009B475A">
        <w:rPr>
          <w:rFonts w:ascii="Times New Roman" w:hAnsi="Times New Roman" w:cs="Times New Roman"/>
          <w:i/>
          <w:sz w:val="24"/>
          <w:szCs w:val="24"/>
        </w:rPr>
        <w:t>=</w:t>
      </w:r>
      <w:r w:rsidR="00852599">
        <w:rPr>
          <w:rFonts w:ascii="Times New Roman" w:hAnsi="Times New Roman" w:cs="Times New Roman"/>
          <w:i/>
          <w:sz w:val="24"/>
          <w:szCs w:val="24"/>
          <w:lang w:val="en-US"/>
        </w:rPr>
        <w:t xml:space="preserve"> </w:t>
      </w:r>
      <w:r w:rsidRPr="009B475A">
        <w:rPr>
          <w:rFonts w:ascii="Times New Roman" w:hAnsi="Times New Roman" w:cs="Times New Roman"/>
          <w:i/>
          <w:sz w:val="24"/>
          <w:szCs w:val="24"/>
        </w:rPr>
        <w:t>0.000</w:t>
      </w:r>
      <w:r w:rsidR="00852599">
        <w:rPr>
          <w:rFonts w:ascii="Times New Roman" w:hAnsi="Times New Roman" w:cs="Times New Roman"/>
          <w:i/>
          <w:sz w:val="24"/>
          <w:szCs w:val="24"/>
          <w:lang w:val="en-US"/>
        </w:rPr>
        <w:t xml:space="preserve"> </w:t>
      </w:r>
      <w:r w:rsidRPr="009B475A">
        <w:rPr>
          <w:rFonts w:ascii="Times New Roman" w:hAnsi="Times New Roman" w:cs="Times New Roman"/>
          <w:i/>
          <w:sz w:val="24"/>
          <w:szCs w:val="24"/>
        </w:rPr>
        <w:t>&lt;</w:t>
      </w:r>
      <w:r w:rsidR="00852599">
        <w:rPr>
          <w:rFonts w:ascii="Times New Roman" w:hAnsi="Times New Roman" w:cs="Times New Roman"/>
          <w:i/>
          <w:sz w:val="24"/>
          <w:szCs w:val="24"/>
          <w:lang w:val="en-US"/>
        </w:rPr>
        <w:t xml:space="preserve"> </w:t>
      </w:r>
      <w:r w:rsidRPr="009B475A">
        <w:rPr>
          <w:rFonts w:ascii="Times New Roman" w:hAnsi="Times New Roman" w:cs="Times New Roman"/>
          <w:i/>
          <w:sz w:val="24"/>
          <w:szCs w:val="24"/>
        </w:rPr>
        <w:t>0.05</w:t>
      </w:r>
      <w:r w:rsidRPr="009B475A">
        <w:rPr>
          <w:rFonts w:ascii="Times New Roman" w:hAnsi="Times New Roman" w:cs="Times New Roman"/>
          <w:sz w:val="24"/>
          <w:szCs w:val="24"/>
        </w:rPr>
        <w:t>). Berdasarkan hasil analisis ini dapat diketahui bahwa implementasi SPADA Unram dan Laboratorium Alam efektif untuk meningkatkan KPS dasar mahasiswa. Artinya bahwa pembelajaran campuran SPADA Unram dan Laboratorium Alam lebih baik dibandingkan dengan pembelajaran yang hanya menggunakan SPADA Unram dalam mengembangkan KPS dasar mahasiswa Prodi PGSD FKIP Universitas Mataram.</w:t>
      </w:r>
    </w:p>
    <w:p w14:paraId="26AE095D" w14:textId="77777777" w:rsidR="009B475A" w:rsidRDefault="009B475A" w:rsidP="009B475A">
      <w:pPr>
        <w:spacing w:after="0" w:line="240" w:lineRule="auto"/>
        <w:jc w:val="center"/>
        <w:rPr>
          <w:rFonts w:asciiTheme="majorHAnsi" w:hAnsiTheme="majorHAnsi"/>
        </w:rPr>
      </w:pPr>
      <w:r>
        <w:rPr>
          <w:noProof/>
          <w:lang w:val="en-US" w:eastAsia="en-US"/>
        </w:rPr>
        <w:lastRenderedPageBreak/>
        <w:drawing>
          <wp:inline distT="0" distB="0" distL="0" distR="0" wp14:anchorId="52864D5B" wp14:editId="05527CDF">
            <wp:extent cx="6038850" cy="3305175"/>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DA9F84B" w14:textId="2FC0143E" w:rsidR="009B475A" w:rsidRPr="009B475A" w:rsidRDefault="00DC217B" w:rsidP="009B475A">
      <w:pPr>
        <w:spacing w:after="120" w:line="240" w:lineRule="auto"/>
        <w:jc w:val="center"/>
        <w:rPr>
          <w:rFonts w:ascii="Times New Roman" w:hAnsi="Times New Roman" w:cs="Times New Roman"/>
        </w:rPr>
      </w:pPr>
      <w:r>
        <w:rPr>
          <w:rFonts w:ascii="Times New Roman" w:hAnsi="Times New Roman" w:cs="Times New Roman"/>
          <w:b/>
        </w:rPr>
        <w:t xml:space="preserve">Gambar </w:t>
      </w:r>
      <w:r>
        <w:rPr>
          <w:rFonts w:ascii="Times New Roman" w:hAnsi="Times New Roman" w:cs="Times New Roman"/>
          <w:b/>
          <w:lang w:val="en-US"/>
        </w:rPr>
        <w:t>1</w:t>
      </w:r>
      <w:r w:rsidR="009B475A" w:rsidRPr="00DC217B">
        <w:rPr>
          <w:rFonts w:ascii="Times New Roman" w:hAnsi="Times New Roman" w:cs="Times New Roman"/>
          <w:b/>
        </w:rPr>
        <w:t>.</w:t>
      </w:r>
      <w:r w:rsidR="009B475A" w:rsidRPr="009B475A">
        <w:rPr>
          <w:rFonts w:ascii="Times New Roman" w:hAnsi="Times New Roman" w:cs="Times New Roman"/>
        </w:rPr>
        <w:t xml:space="preserve"> Perbandingan hasil belajar antara PSU dan PSU &amp; LA</w:t>
      </w:r>
    </w:p>
    <w:p w14:paraId="7CA74855" w14:textId="77777777" w:rsidR="009B475A" w:rsidRPr="00DC217B" w:rsidRDefault="009B475A" w:rsidP="009B475A">
      <w:pPr>
        <w:spacing w:after="0" w:line="240" w:lineRule="auto"/>
        <w:jc w:val="both"/>
        <w:rPr>
          <w:rFonts w:ascii="Times New Roman" w:hAnsi="Times New Roman" w:cs="Times New Roman"/>
          <w:sz w:val="20"/>
        </w:rPr>
      </w:pPr>
      <w:r w:rsidRPr="00DC217B">
        <w:rPr>
          <w:rFonts w:ascii="Times New Roman" w:hAnsi="Times New Roman" w:cs="Times New Roman"/>
          <w:sz w:val="20"/>
        </w:rPr>
        <w:t>Di mana: Mean = rata-rata derajat penguasaan KPS dasar; KSB = proporsi kategori sangat baik; KB = proporsi kategori baik; KC = proporsi kategori cukup; KK = proporsi kategori kurang; KSK = proporsi kategori sangat kurang.</w:t>
      </w:r>
    </w:p>
    <w:p w14:paraId="388EE515" w14:textId="77777777" w:rsidR="009B475A" w:rsidRPr="009B475A" w:rsidRDefault="009B475A" w:rsidP="009B475A">
      <w:pPr>
        <w:spacing w:before="120" w:after="0" w:line="240" w:lineRule="auto"/>
        <w:ind w:firstLine="720"/>
        <w:jc w:val="both"/>
        <w:rPr>
          <w:rFonts w:ascii="Times New Roman" w:hAnsi="Times New Roman" w:cs="Times New Roman"/>
          <w:sz w:val="24"/>
        </w:rPr>
      </w:pPr>
      <w:r w:rsidRPr="009B475A">
        <w:rPr>
          <w:rFonts w:ascii="Times New Roman" w:hAnsi="Times New Roman" w:cs="Times New Roman"/>
          <w:sz w:val="24"/>
        </w:rPr>
        <w:t>Ditinjau dari derajat penguasaan terhadap tiap indikator, rata-rata derajat penguasaan mahasiswa melalui implementasi SPADA Unram dan Laboratorium Alam berkisar dari 44.29 sampai dengan 89.14. Derajat penguasaan terbesar adalah indikator mengobservasi dan mengkomunikasi dengan kategori sangat baik. Hasil ini lebih tinggi dibandingkan dengan hasil pembelajaran sebelumnya yang hanya mengimplementasikan SPADA Unram, kecuali pada indikator memprediksi (Gambar 3). Sehingga secara umum dapat dikatakan bahwa implementasi PSU &amp; LA dapat mengembangkan KPS mahasiswa pada tingkat indikator. Fakta ini diperkuat oleh hasil uji komparasi yang menunjukkan bahwa terdapat perbedaan derajat penguasaan yang signifikan pada tingkat indikator antara PSU &amp; LA dibandingkan dengan PSU (</w:t>
      </w:r>
      <w:r w:rsidRPr="009B475A">
        <w:rPr>
          <w:rFonts w:ascii="Times New Roman" w:hAnsi="Times New Roman" w:cs="Times New Roman"/>
          <w:i/>
          <w:sz w:val="24"/>
        </w:rPr>
        <w:t>p = 0.021 &lt; 0.05</w:t>
      </w:r>
      <w:r w:rsidRPr="009B475A">
        <w:rPr>
          <w:rFonts w:ascii="Times New Roman" w:hAnsi="Times New Roman" w:cs="Times New Roman"/>
          <w:sz w:val="24"/>
        </w:rPr>
        <w:t>).</w:t>
      </w:r>
    </w:p>
    <w:p w14:paraId="5CF72860" w14:textId="77777777" w:rsidR="009B475A" w:rsidRDefault="009B475A" w:rsidP="009B475A">
      <w:pPr>
        <w:spacing w:before="120" w:after="0" w:line="240" w:lineRule="auto"/>
        <w:jc w:val="center"/>
        <w:rPr>
          <w:rFonts w:asciiTheme="majorHAnsi" w:hAnsiTheme="majorHAnsi"/>
        </w:rPr>
      </w:pPr>
      <w:r>
        <w:rPr>
          <w:noProof/>
          <w:lang w:val="en-US" w:eastAsia="en-US"/>
        </w:rPr>
        <w:drawing>
          <wp:inline distT="0" distB="0" distL="0" distR="0" wp14:anchorId="488D3534" wp14:editId="52ACBFD3">
            <wp:extent cx="6038850" cy="2647950"/>
            <wp:effectExtent l="0" t="0" r="0" b="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0D4CB3C" w14:textId="2A874776" w:rsidR="009B475A" w:rsidRPr="009B475A" w:rsidRDefault="00DC217B" w:rsidP="009B475A">
      <w:pPr>
        <w:spacing w:after="120" w:line="240" w:lineRule="auto"/>
        <w:jc w:val="center"/>
        <w:rPr>
          <w:rFonts w:ascii="Times New Roman" w:hAnsi="Times New Roman" w:cs="Times New Roman"/>
        </w:rPr>
      </w:pPr>
      <w:r>
        <w:rPr>
          <w:rFonts w:ascii="Times New Roman" w:hAnsi="Times New Roman" w:cs="Times New Roman"/>
          <w:b/>
        </w:rPr>
        <w:t xml:space="preserve">Gambar </w:t>
      </w:r>
      <w:r>
        <w:rPr>
          <w:rFonts w:ascii="Times New Roman" w:hAnsi="Times New Roman" w:cs="Times New Roman"/>
          <w:b/>
          <w:lang w:val="en-US"/>
        </w:rPr>
        <w:t>2</w:t>
      </w:r>
      <w:r w:rsidR="009B475A" w:rsidRPr="00DC217B">
        <w:rPr>
          <w:rFonts w:ascii="Times New Roman" w:hAnsi="Times New Roman" w:cs="Times New Roman"/>
          <w:b/>
        </w:rPr>
        <w:t>.</w:t>
      </w:r>
      <w:r w:rsidR="009B475A" w:rsidRPr="009B475A">
        <w:rPr>
          <w:rFonts w:ascii="Times New Roman" w:hAnsi="Times New Roman" w:cs="Times New Roman"/>
        </w:rPr>
        <w:t xml:space="preserve"> Perbandingan derajat penguasaan KPS mahasiswa antara PSU dan PSU &amp; LA</w:t>
      </w:r>
    </w:p>
    <w:p w14:paraId="4E8586E7" w14:textId="77777777" w:rsidR="009B475A" w:rsidRPr="009B475A" w:rsidRDefault="009B475A" w:rsidP="009B475A">
      <w:pPr>
        <w:spacing w:after="0" w:line="240" w:lineRule="auto"/>
        <w:ind w:firstLine="720"/>
        <w:jc w:val="both"/>
        <w:rPr>
          <w:rFonts w:ascii="Times New Roman" w:hAnsi="Times New Roman" w:cs="Times New Roman"/>
          <w:sz w:val="24"/>
        </w:rPr>
      </w:pPr>
      <w:r w:rsidRPr="009B475A">
        <w:rPr>
          <w:rFonts w:ascii="Times New Roman" w:hAnsi="Times New Roman" w:cs="Times New Roman"/>
          <w:sz w:val="24"/>
        </w:rPr>
        <w:lastRenderedPageBreak/>
        <w:t>Proporsi mahasiswa yang memiliki derajat penguasaan terhadap KPS dengan kategori sangat baik melalui implementasi PSU &amp; LA lebih besar dibandingkan dengan implementasi PSU pada semua indikator, kecuali pada ketarampilan memprediksi (Gambar 4). Secara umum, dapat dikatakan bahwa secara berurutan proporsi mulai dari kategori sangat baik (SB), baik (B), cukup (C), kurang (K), sampai dengan sangat kurang (SK) mengalami penurunan pada implementasi PSU &amp; LA. Kecenderungan sebaliknya terjadi pada implementasi PSU. Proporsi terbesar dengan kategori sangat kurang juga terjadi pada semua indikator.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44"/>
        <w:gridCol w:w="4799"/>
      </w:tblGrid>
      <w:tr w:rsidR="00DC217B" w14:paraId="233B28FC" w14:textId="77777777" w:rsidTr="00B83689">
        <w:trPr>
          <w:jc w:val="center"/>
        </w:trPr>
        <w:tc>
          <w:tcPr>
            <w:tcW w:w="4604" w:type="dxa"/>
            <w:shd w:val="clear" w:color="auto" w:fill="auto"/>
          </w:tcPr>
          <w:p w14:paraId="2E4F9F2E" w14:textId="77777777" w:rsidR="00DC217B" w:rsidRDefault="00DC217B" w:rsidP="00B83689">
            <w:pPr>
              <w:jc w:val="both"/>
              <w:rPr>
                <w:rFonts w:asciiTheme="majorHAnsi" w:hAnsiTheme="majorHAnsi"/>
              </w:rPr>
            </w:pPr>
            <w:r>
              <w:rPr>
                <w:noProof/>
                <w:lang w:val="en-US" w:eastAsia="en-US"/>
              </w:rPr>
              <w:drawing>
                <wp:inline distT="0" distB="0" distL="0" distR="0" wp14:anchorId="72241152" wp14:editId="6CB95A4B">
                  <wp:extent cx="2828925" cy="1685925"/>
                  <wp:effectExtent l="0" t="0" r="0" b="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c>
          <w:tcPr>
            <w:tcW w:w="4972" w:type="dxa"/>
          </w:tcPr>
          <w:p w14:paraId="3F9A7304" w14:textId="77777777" w:rsidR="00DC217B" w:rsidRDefault="00DC217B" w:rsidP="00B83689">
            <w:pPr>
              <w:jc w:val="both"/>
              <w:rPr>
                <w:rFonts w:asciiTheme="majorHAnsi" w:hAnsiTheme="majorHAnsi"/>
              </w:rPr>
            </w:pPr>
            <w:r>
              <w:rPr>
                <w:noProof/>
                <w:lang w:val="en-US" w:eastAsia="en-US"/>
              </w:rPr>
              <mc:AlternateContent>
                <mc:Choice Requires="wps">
                  <w:drawing>
                    <wp:anchor distT="0" distB="0" distL="114300" distR="114300" simplePos="0" relativeHeight="251659264" behindDoc="0" locked="0" layoutInCell="1" allowOverlap="1" wp14:anchorId="1DC9D17B" wp14:editId="62761441">
                      <wp:simplePos x="0" y="0"/>
                      <wp:positionH relativeFrom="column">
                        <wp:posOffset>276860</wp:posOffset>
                      </wp:positionH>
                      <wp:positionV relativeFrom="paragraph">
                        <wp:posOffset>31750</wp:posOffset>
                      </wp:positionV>
                      <wp:extent cx="438150" cy="323850"/>
                      <wp:effectExtent l="0" t="0" r="0" b="0"/>
                      <wp:wrapNone/>
                      <wp:docPr id="14" name="Rectangle 1"/>
                      <wp:cNvGraphicFramePr/>
                      <a:graphic xmlns:a="http://schemas.openxmlformats.org/drawingml/2006/main">
                        <a:graphicData uri="http://schemas.microsoft.com/office/word/2010/wordprocessingShape">
                          <wps:wsp>
                            <wps:cNvSpPr/>
                            <wps:spPr>
                              <a:xfrm>
                                <a:off x="0" y="0"/>
                                <a:ext cx="438150" cy="323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1A01F82" w14:textId="77777777" w:rsidR="00DC217B" w:rsidRDefault="00DC217B" w:rsidP="00DC217B">
                                  <w:pPr>
                                    <w:pStyle w:val="NormalWeb"/>
                                    <w:spacing w:before="0" w:beforeAutospacing="0" w:after="0" w:afterAutospacing="0"/>
                                  </w:pPr>
                                  <w:r>
                                    <w:rPr>
                                      <w:rFonts w:asciiTheme="majorHAnsi" w:hAnsi="Cambria" w:cstheme="minorBidi"/>
                                      <w:color w:val="000000"/>
                                      <w:sz w:val="22"/>
                                      <w:szCs w:val="22"/>
                                    </w:rPr>
                                    <w:t>(b)</w:t>
                                  </w:r>
                                </w:p>
                              </w:txbxContent>
                            </wps:txbx>
                            <wps:bodyPr vertOverflow="clip">
                              <a:noAutofit/>
                            </wps:bodyPr>
                          </wps:wsp>
                        </a:graphicData>
                      </a:graphic>
                      <wp14:sizeRelV relativeFrom="margin">
                        <wp14:pctHeight>0</wp14:pctHeight>
                      </wp14:sizeRelV>
                    </wp:anchor>
                  </w:drawing>
                </mc:Choice>
                <mc:Fallback>
                  <w:pict>
                    <v:rect id="Rectangle 1" o:spid="_x0000_s1026" style="position:absolute;left:0;text-align:left;margin-left:21.8pt;margin-top:2.5pt;width:34.5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" filled="f" stroked="f" strokeweight="2pt">
                      <v:textbox>
                        <w:txbxContent>
                          <w:p w14:paraId="01A01F82" w14:textId="77777777" w:rsidR="00DC217B" w:rsidRDefault="00DC217B" w:rsidP="00DC217B">
                            <w:pPr>
                              <w:pStyle w:val="NormalWeb"/>
                              <w:spacing w:before="0" w:beforeAutospacing="0" w:after="0" w:afterAutospacing="0"/>
                            </w:pPr>
                            <w:r>
                              <w:rPr>
                                <w:rFonts w:asciiTheme="majorHAnsi" w:hAnsi="Cambria" w:cstheme="minorBidi"/>
                                <w:color w:val="000000"/>
                                <w:sz w:val="22"/>
                                <w:szCs w:val="22"/>
                              </w:rPr>
                              <w:t>(b)</w:t>
                            </w:r>
                          </w:p>
                        </w:txbxContent>
                      </v:textbox>
                    </v:rect>
                  </w:pict>
                </mc:Fallback>
              </mc:AlternateContent>
            </w:r>
            <w:r>
              <w:rPr>
                <w:noProof/>
                <w:lang w:val="en-US" w:eastAsia="en-US"/>
              </w:rPr>
              <w:drawing>
                <wp:inline distT="0" distB="0" distL="0" distR="0" wp14:anchorId="66F3E0C5" wp14:editId="3502D9A2">
                  <wp:extent cx="3076575" cy="1685925"/>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DC217B" w14:paraId="61D49839" w14:textId="77777777" w:rsidTr="00B83689">
        <w:trPr>
          <w:jc w:val="center"/>
        </w:trPr>
        <w:tc>
          <w:tcPr>
            <w:tcW w:w="4604" w:type="dxa"/>
          </w:tcPr>
          <w:p w14:paraId="2FA01ECB" w14:textId="77777777" w:rsidR="00DC217B" w:rsidRDefault="00DC217B" w:rsidP="00B83689">
            <w:pPr>
              <w:jc w:val="both"/>
              <w:rPr>
                <w:rFonts w:asciiTheme="majorHAnsi" w:hAnsiTheme="majorHAnsi"/>
              </w:rPr>
            </w:pPr>
            <w:r>
              <w:rPr>
                <w:noProof/>
                <w:lang w:val="en-US" w:eastAsia="en-US"/>
              </w:rPr>
              <mc:AlternateContent>
                <mc:Choice Requires="wps">
                  <w:drawing>
                    <wp:anchor distT="0" distB="0" distL="114300" distR="114300" simplePos="0" relativeHeight="251660288" behindDoc="0" locked="0" layoutInCell="1" allowOverlap="1" wp14:anchorId="4963DD30" wp14:editId="17296344">
                      <wp:simplePos x="0" y="0"/>
                      <wp:positionH relativeFrom="column">
                        <wp:posOffset>323850</wp:posOffset>
                      </wp:positionH>
                      <wp:positionV relativeFrom="paragraph">
                        <wp:posOffset>41275</wp:posOffset>
                      </wp:positionV>
                      <wp:extent cx="438150" cy="304800"/>
                      <wp:effectExtent l="0" t="0" r="0" b="0"/>
                      <wp:wrapNone/>
                      <wp:docPr id="15" name="Rectangle 1"/>
                      <wp:cNvGraphicFramePr/>
                      <a:graphic xmlns:a="http://schemas.openxmlformats.org/drawingml/2006/main">
                        <a:graphicData uri="http://schemas.microsoft.com/office/word/2010/wordprocessingShape">
                          <wps:wsp>
                            <wps:cNvSpPr/>
                            <wps:spPr>
                              <a:xfrm>
                                <a:off x="0" y="0"/>
                                <a:ext cx="4381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F78732" w14:textId="77777777" w:rsidR="00DC217B" w:rsidRDefault="00DC217B" w:rsidP="00DC217B">
                                  <w:pPr>
                                    <w:pStyle w:val="NormalWeb"/>
                                    <w:spacing w:before="0" w:beforeAutospacing="0" w:after="0" w:afterAutospacing="0"/>
                                  </w:pPr>
                                  <w:r>
                                    <w:rPr>
                                      <w:rFonts w:asciiTheme="majorHAnsi" w:hAnsi="Cambria" w:cstheme="minorBidi"/>
                                      <w:color w:val="000000"/>
                                      <w:sz w:val="22"/>
                                      <w:szCs w:val="22"/>
                                    </w:rPr>
                                    <w:t>(c)</w:t>
                                  </w:r>
                                </w:p>
                              </w:txbxContent>
                            </wps:txbx>
                            <wps:bodyPr vertOverflow="clip">
                              <a:noAutofit/>
                            </wps:bodyPr>
                          </wps:wsp>
                        </a:graphicData>
                      </a:graphic>
                      <wp14:sizeRelV relativeFrom="margin">
                        <wp14:pctHeight>0</wp14:pctHeight>
                      </wp14:sizeRelV>
                    </wp:anchor>
                  </w:drawing>
                </mc:Choice>
                <mc:Fallback>
                  <w:pict>
                    <v:rect id="_x0000_s1027" style="position:absolute;left:0;text-align:left;margin-left:25.5pt;margin-top:3.25pt;width:34.5pt;height:24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" filled="f" stroked="f" strokeweight="2pt">
                      <v:textbox>
                        <w:txbxContent>
                          <w:p w14:paraId="59F78732" w14:textId="77777777" w:rsidR="00DC217B" w:rsidRDefault="00DC217B" w:rsidP="00DC217B">
                            <w:pPr>
                              <w:pStyle w:val="NormalWeb"/>
                              <w:spacing w:before="0" w:beforeAutospacing="0" w:after="0" w:afterAutospacing="0"/>
                            </w:pPr>
                            <w:r>
                              <w:rPr>
                                <w:rFonts w:asciiTheme="majorHAnsi" w:hAnsi="Cambria" w:cstheme="minorBidi"/>
                                <w:color w:val="000000"/>
                                <w:sz w:val="22"/>
                                <w:szCs w:val="22"/>
                              </w:rPr>
                              <w:t>(c)</w:t>
                            </w:r>
                          </w:p>
                        </w:txbxContent>
                      </v:textbox>
                    </v:rect>
                  </w:pict>
                </mc:Fallback>
              </mc:AlternateContent>
            </w:r>
            <w:r>
              <w:rPr>
                <w:noProof/>
                <w:lang w:val="en-US" w:eastAsia="en-US"/>
              </w:rPr>
              <w:drawing>
                <wp:inline distT="0" distB="0" distL="0" distR="0" wp14:anchorId="29D1DF9A" wp14:editId="737BDDC0">
                  <wp:extent cx="2800349" cy="1647825"/>
                  <wp:effectExtent l="0" t="0" r="635" b="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c>
          <w:tcPr>
            <w:tcW w:w="4972" w:type="dxa"/>
          </w:tcPr>
          <w:p w14:paraId="2CCA2405" w14:textId="77777777" w:rsidR="00DC217B" w:rsidRDefault="00DC217B" w:rsidP="00B83689">
            <w:pPr>
              <w:jc w:val="both"/>
              <w:rPr>
                <w:rFonts w:asciiTheme="majorHAnsi" w:hAnsiTheme="majorHAnsi"/>
              </w:rPr>
            </w:pPr>
            <w:r>
              <w:rPr>
                <w:noProof/>
                <w:lang w:val="en-US" w:eastAsia="en-US"/>
              </w:rPr>
              <mc:AlternateContent>
                <mc:Choice Requires="wps">
                  <w:drawing>
                    <wp:anchor distT="0" distB="0" distL="114300" distR="114300" simplePos="0" relativeHeight="251661312" behindDoc="0" locked="0" layoutInCell="1" allowOverlap="1" wp14:anchorId="71F7018A" wp14:editId="2C02EF77">
                      <wp:simplePos x="0" y="0"/>
                      <wp:positionH relativeFrom="column">
                        <wp:posOffset>276860</wp:posOffset>
                      </wp:positionH>
                      <wp:positionV relativeFrom="paragraph">
                        <wp:posOffset>41275</wp:posOffset>
                      </wp:positionV>
                      <wp:extent cx="438150" cy="304800"/>
                      <wp:effectExtent l="0" t="0" r="0" b="0"/>
                      <wp:wrapNone/>
                      <wp:docPr id="6" name="Rectangle 1"/>
                      <wp:cNvGraphicFramePr/>
                      <a:graphic xmlns:a="http://schemas.openxmlformats.org/drawingml/2006/main">
                        <a:graphicData uri="http://schemas.microsoft.com/office/word/2010/wordprocessingShape">
                          <wps:wsp>
                            <wps:cNvSpPr/>
                            <wps:spPr>
                              <a:xfrm>
                                <a:off x="0" y="0"/>
                                <a:ext cx="4381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0B0389C" w14:textId="77777777" w:rsidR="00DC217B" w:rsidRDefault="00DC217B" w:rsidP="00DC217B">
                                  <w:pPr>
                                    <w:pStyle w:val="NormalWeb"/>
                                    <w:spacing w:before="0" w:beforeAutospacing="0" w:after="0" w:afterAutospacing="0"/>
                                  </w:pPr>
                                  <w:r>
                                    <w:rPr>
                                      <w:rFonts w:asciiTheme="majorHAnsi" w:hAnsi="Cambria" w:cstheme="minorBidi"/>
                                      <w:color w:val="000000"/>
                                      <w:sz w:val="22"/>
                                      <w:szCs w:val="22"/>
                                    </w:rPr>
                                    <w:t>(d)</w:t>
                                  </w:r>
                                </w:p>
                              </w:txbxContent>
                            </wps:txbx>
                            <wps:bodyPr vertOverflow="clip">
                              <a:noAutofit/>
                            </wps:bodyPr>
                          </wps:wsp>
                        </a:graphicData>
                      </a:graphic>
                      <wp14:sizeRelV relativeFrom="margin">
                        <wp14:pctHeight>0</wp14:pctHeight>
                      </wp14:sizeRelV>
                    </wp:anchor>
                  </w:drawing>
                </mc:Choice>
                <mc:Fallback>
                  <w:pict>
                    <v:rect id="_x0000_s1028" style="position:absolute;left:0;text-align:left;margin-left:21.8pt;margin-top:3.25pt;width:34.5pt;height:24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" filled="f" stroked="f" strokeweight="2pt">
                      <v:textbox>
                        <w:txbxContent>
                          <w:p w14:paraId="10B0389C" w14:textId="77777777" w:rsidR="00DC217B" w:rsidRDefault="00DC217B" w:rsidP="00DC217B">
                            <w:pPr>
                              <w:pStyle w:val="NormalWeb"/>
                              <w:spacing w:before="0" w:beforeAutospacing="0" w:after="0" w:afterAutospacing="0"/>
                            </w:pPr>
                            <w:r>
                              <w:rPr>
                                <w:rFonts w:asciiTheme="majorHAnsi" w:hAnsi="Cambria" w:cstheme="minorBidi"/>
                                <w:color w:val="000000"/>
                                <w:sz w:val="22"/>
                                <w:szCs w:val="22"/>
                              </w:rPr>
                              <w:t>(d)</w:t>
                            </w:r>
                          </w:p>
                        </w:txbxContent>
                      </v:textbox>
                    </v:rect>
                  </w:pict>
                </mc:Fallback>
              </mc:AlternateContent>
            </w:r>
            <w:r>
              <w:rPr>
                <w:noProof/>
                <w:lang w:val="en-US" w:eastAsia="en-US"/>
              </w:rPr>
              <w:drawing>
                <wp:inline distT="0" distB="0" distL="0" distR="0" wp14:anchorId="07A9641A" wp14:editId="0871F1F2">
                  <wp:extent cx="3076575" cy="1628775"/>
                  <wp:effectExtent l="0" t="0" r="0" b="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DC217B" w14:paraId="393645E4" w14:textId="77777777" w:rsidTr="00B83689">
        <w:trPr>
          <w:jc w:val="center"/>
        </w:trPr>
        <w:tc>
          <w:tcPr>
            <w:tcW w:w="4604" w:type="dxa"/>
          </w:tcPr>
          <w:p w14:paraId="33E0BCB1" w14:textId="77777777" w:rsidR="00DC217B" w:rsidRDefault="00DC217B" w:rsidP="00B83689">
            <w:pPr>
              <w:jc w:val="both"/>
              <w:rPr>
                <w:rFonts w:asciiTheme="majorHAnsi" w:hAnsiTheme="majorHAnsi"/>
              </w:rPr>
            </w:pPr>
            <w:r>
              <w:rPr>
                <w:noProof/>
                <w:lang w:val="en-US" w:eastAsia="en-US"/>
              </w:rPr>
              <mc:AlternateContent>
                <mc:Choice Requires="wps">
                  <w:drawing>
                    <wp:anchor distT="0" distB="0" distL="114300" distR="114300" simplePos="0" relativeHeight="251662336" behindDoc="0" locked="0" layoutInCell="1" allowOverlap="1" wp14:anchorId="165B82BF" wp14:editId="4FB384D8">
                      <wp:simplePos x="0" y="0"/>
                      <wp:positionH relativeFrom="column">
                        <wp:posOffset>266700</wp:posOffset>
                      </wp:positionH>
                      <wp:positionV relativeFrom="paragraph">
                        <wp:posOffset>19050</wp:posOffset>
                      </wp:positionV>
                      <wp:extent cx="438150" cy="304800"/>
                      <wp:effectExtent l="0" t="0" r="0" b="0"/>
                      <wp:wrapNone/>
                      <wp:docPr id="16" name="Rectangle 1"/>
                      <wp:cNvGraphicFramePr/>
                      <a:graphic xmlns:a="http://schemas.openxmlformats.org/drawingml/2006/main">
                        <a:graphicData uri="http://schemas.microsoft.com/office/word/2010/wordprocessingShape">
                          <wps:wsp>
                            <wps:cNvSpPr/>
                            <wps:spPr>
                              <a:xfrm>
                                <a:off x="0" y="0"/>
                                <a:ext cx="4381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D7DC39D" w14:textId="77777777" w:rsidR="00DC217B" w:rsidRDefault="00DC217B" w:rsidP="00DC217B">
                                  <w:pPr>
                                    <w:pStyle w:val="NormalWeb"/>
                                    <w:spacing w:before="0" w:beforeAutospacing="0" w:after="0" w:afterAutospacing="0"/>
                                  </w:pPr>
                                  <w:r>
                                    <w:rPr>
                                      <w:rFonts w:asciiTheme="majorHAnsi" w:hAnsi="Cambria" w:cstheme="minorBidi"/>
                                      <w:color w:val="000000"/>
                                      <w:sz w:val="22"/>
                                      <w:szCs w:val="22"/>
                                    </w:rPr>
                                    <w:t>(e)</w:t>
                                  </w:r>
                                </w:p>
                              </w:txbxContent>
                            </wps:txbx>
                            <wps:bodyPr vertOverflow="clip">
                              <a:noAutofit/>
                            </wps:bodyPr>
                          </wps:wsp>
                        </a:graphicData>
                      </a:graphic>
                      <wp14:sizeRelV relativeFrom="margin">
                        <wp14:pctHeight>0</wp14:pctHeight>
                      </wp14:sizeRelV>
                    </wp:anchor>
                  </w:drawing>
                </mc:Choice>
                <mc:Fallback>
                  <w:pict>
                    <v:rect id="_x0000_s1029" style="position:absolute;left:0;text-align:left;margin-left:21pt;margin-top:1.5pt;width:34.5pt;height:24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" filled="f" stroked="f" strokeweight="2pt">
                      <v:textbox>
                        <w:txbxContent>
                          <w:p w14:paraId="4D7DC39D" w14:textId="77777777" w:rsidR="00DC217B" w:rsidRDefault="00DC217B" w:rsidP="00DC217B">
                            <w:pPr>
                              <w:pStyle w:val="NormalWeb"/>
                              <w:spacing w:before="0" w:beforeAutospacing="0" w:after="0" w:afterAutospacing="0"/>
                            </w:pPr>
                            <w:r>
                              <w:rPr>
                                <w:rFonts w:asciiTheme="majorHAnsi" w:hAnsi="Cambria" w:cstheme="minorBidi"/>
                                <w:color w:val="000000"/>
                                <w:sz w:val="22"/>
                                <w:szCs w:val="22"/>
                              </w:rPr>
                              <w:t>(e)</w:t>
                            </w:r>
                          </w:p>
                        </w:txbxContent>
                      </v:textbox>
                    </v:rect>
                  </w:pict>
                </mc:Fallback>
              </mc:AlternateContent>
            </w:r>
            <w:r>
              <w:rPr>
                <w:noProof/>
                <w:lang w:val="en-US" w:eastAsia="en-US"/>
              </w:rPr>
              <w:drawing>
                <wp:inline distT="0" distB="0" distL="0" distR="0" wp14:anchorId="34FC39CC" wp14:editId="4B420D18">
                  <wp:extent cx="2838450" cy="165735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tc>
        <w:tc>
          <w:tcPr>
            <w:tcW w:w="4972" w:type="dxa"/>
          </w:tcPr>
          <w:p w14:paraId="4FB3A10D" w14:textId="77777777" w:rsidR="00DC217B" w:rsidRDefault="00DC217B" w:rsidP="00B83689">
            <w:pPr>
              <w:jc w:val="both"/>
              <w:rPr>
                <w:rFonts w:asciiTheme="majorHAnsi" w:hAnsiTheme="majorHAnsi"/>
              </w:rPr>
            </w:pPr>
            <w:r>
              <w:rPr>
                <w:noProof/>
                <w:lang w:val="en-US" w:eastAsia="en-US"/>
              </w:rPr>
              <mc:AlternateContent>
                <mc:Choice Requires="wps">
                  <w:drawing>
                    <wp:anchor distT="0" distB="0" distL="114300" distR="114300" simplePos="0" relativeHeight="251663360" behindDoc="0" locked="0" layoutInCell="1" allowOverlap="1" wp14:anchorId="3FFD1E39" wp14:editId="6C7D35A4">
                      <wp:simplePos x="0" y="0"/>
                      <wp:positionH relativeFrom="column">
                        <wp:posOffset>219710</wp:posOffset>
                      </wp:positionH>
                      <wp:positionV relativeFrom="paragraph">
                        <wp:posOffset>38100</wp:posOffset>
                      </wp:positionV>
                      <wp:extent cx="438150" cy="304800"/>
                      <wp:effectExtent l="0" t="0" r="0" b="0"/>
                      <wp:wrapNone/>
                      <wp:docPr id="17" name="Rectangle 1"/>
                      <wp:cNvGraphicFramePr/>
                      <a:graphic xmlns:a="http://schemas.openxmlformats.org/drawingml/2006/main">
                        <a:graphicData uri="http://schemas.microsoft.com/office/word/2010/wordprocessingShape">
                          <wps:wsp>
                            <wps:cNvSpPr/>
                            <wps:spPr>
                              <a:xfrm>
                                <a:off x="0" y="0"/>
                                <a:ext cx="438150" cy="3048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DCD01DB" w14:textId="77777777" w:rsidR="00DC217B" w:rsidRDefault="00DC217B" w:rsidP="00DC217B">
                                  <w:pPr>
                                    <w:pStyle w:val="NormalWeb"/>
                                    <w:spacing w:before="0" w:beforeAutospacing="0" w:after="0" w:afterAutospacing="0"/>
                                  </w:pPr>
                                  <w:r>
                                    <w:rPr>
                                      <w:rFonts w:asciiTheme="majorHAnsi" w:hAnsi="Cambria" w:cstheme="minorBidi"/>
                                      <w:color w:val="000000"/>
                                      <w:sz w:val="22"/>
                                      <w:szCs w:val="22"/>
                                    </w:rPr>
                                    <w:t>(f)</w:t>
                                  </w:r>
                                </w:p>
                              </w:txbxContent>
                            </wps:txbx>
                            <wps:bodyPr vertOverflow="clip">
                              <a:noAutofit/>
                            </wps:bodyPr>
                          </wps:wsp>
                        </a:graphicData>
                      </a:graphic>
                      <wp14:sizeRelV relativeFrom="margin">
                        <wp14:pctHeight>0</wp14:pctHeight>
                      </wp14:sizeRelV>
                    </wp:anchor>
                  </w:drawing>
                </mc:Choice>
                <mc:Fallback>
                  <w:pict>
                    <v:rect id="_x0000_s1030" style="position:absolute;left:0;text-align:left;margin-left:17.3pt;margin-top:3pt;width:34.5pt;height:24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" filled="f" stroked="f" strokeweight="2pt">
                      <v:textbox>
                        <w:txbxContent>
                          <w:p w14:paraId="0DCD01DB" w14:textId="77777777" w:rsidR="00DC217B" w:rsidRDefault="00DC217B" w:rsidP="00DC217B">
                            <w:pPr>
                              <w:pStyle w:val="NormalWeb"/>
                              <w:spacing w:before="0" w:beforeAutospacing="0" w:after="0" w:afterAutospacing="0"/>
                            </w:pPr>
                            <w:r>
                              <w:rPr>
                                <w:rFonts w:asciiTheme="majorHAnsi" w:hAnsi="Cambria" w:cstheme="minorBidi"/>
                                <w:color w:val="000000"/>
                                <w:sz w:val="22"/>
                                <w:szCs w:val="22"/>
                              </w:rPr>
                              <w:t>(f)</w:t>
                            </w:r>
                          </w:p>
                        </w:txbxContent>
                      </v:textbox>
                    </v:rect>
                  </w:pict>
                </mc:Fallback>
              </mc:AlternateContent>
            </w:r>
            <w:r>
              <w:rPr>
                <w:noProof/>
                <w:lang w:val="en-US" w:eastAsia="en-US"/>
              </w:rPr>
              <w:drawing>
                <wp:inline distT="0" distB="0" distL="0" distR="0" wp14:anchorId="1A7FB29E" wp14:editId="2FF40960">
                  <wp:extent cx="3028950" cy="1685925"/>
                  <wp:effectExtent l="0" t="0" r="0" b="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tc>
      </w:tr>
    </w:tbl>
    <w:p w14:paraId="11ACEE38" w14:textId="4F380EA1" w:rsidR="005A266C" w:rsidRPr="009B475A" w:rsidRDefault="00DC217B" w:rsidP="00DC217B">
      <w:pPr>
        <w:spacing w:after="0" w:line="240" w:lineRule="auto"/>
        <w:jc w:val="center"/>
        <w:rPr>
          <w:rFonts w:ascii="Times New Roman" w:hAnsi="Times New Roman" w:cs="Times New Roman"/>
          <w:sz w:val="26"/>
          <w:szCs w:val="24"/>
          <w:lang w:val="en-US"/>
        </w:rPr>
      </w:pPr>
      <w:r>
        <w:rPr>
          <w:rFonts w:ascii="Times New Roman" w:hAnsi="Times New Roman" w:cs="Times New Roman"/>
          <w:b/>
          <w:sz w:val="24"/>
        </w:rPr>
        <w:t xml:space="preserve">Gambar </w:t>
      </w:r>
      <w:r>
        <w:rPr>
          <w:rFonts w:ascii="Times New Roman" w:hAnsi="Times New Roman" w:cs="Times New Roman"/>
          <w:b/>
          <w:sz w:val="24"/>
          <w:lang w:val="en-US"/>
        </w:rPr>
        <w:t>3</w:t>
      </w:r>
      <w:r w:rsidR="009B475A" w:rsidRPr="00DC217B">
        <w:rPr>
          <w:rFonts w:ascii="Times New Roman" w:hAnsi="Times New Roman" w:cs="Times New Roman"/>
          <w:b/>
          <w:sz w:val="24"/>
        </w:rPr>
        <w:t>.</w:t>
      </w:r>
      <w:r w:rsidR="009B475A" w:rsidRPr="009B475A">
        <w:rPr>
          <w:rFonts w:ascii="Times New Roman" w:hAnsi="Times New Roman" w:cs="Times New Roman"/>
          <w:sz w:val="24"/>
        </w:rPr>
        <w:t xml:space="preserve"> Perbandingan proporsi derajat kemampuan melalui PSU dan PSU &amp; LA pada indikator (a) Mvi, (b) Msi, (c) Mkr, (d) Mki, (e) Mdi, dan (f) Mkn.</w:t>
      </w:r>
    </w:p>
    <w:p w14:paraId="17CB2DA6" w14:textId="77777777" w:rsidR="00040F6F" w:rsidRPr="00C725DD" w:rsidRDefault="00040F6F" w:rsidP="005A266C">
      <w:pPr>
        <w:spacing w:after="0" w:line="240" w:lineRule="auto"/>
        <w:jc w:val="both"/>
        <w:rPr>
          <w:rFonts w:ascii="Times New Roman" w:hAnsi="Times New Roman" w:cs="Times New Roman"/>
          <w:sz w:val="24"/>
          <w:szCs w:val="24"/>
        </w:rPr>
      </w:pPr>
    </w:p>
    <w:p w14:paraId="323BA533" w14:textId="55DDB937" w:rsidR="005A266C" w:rsidRPr="00C725DD" w:rsidRDefault="00040F6F" w:rsidP="005A266C">
      <w:pPr>
        <w:spacing w:after="0" w:line="240" w:lineRule="auto"/>
        <w:jc w:val="both"/>
        <w:rPr>
          <w:rFonts w:ascii="Times New Roman" w:hAnsi="Times New Roman" w:cs="Times New Roman"/>
          <w:b/>
          <w:sz w:val="24"/>
          <w:szCs w:val="24"/>
          <w:lang w:val="en-US"/>
        </w:rPr>
      </w:pPr>
      <w:r w:rsidRPr="00C725DD">
        <w:rPr>
          <w:rFonts w:ascii="Times New Roman" w:hAnsi="Times New Roman" w:cs="Times New Roman"/>
          <w:b/>
          <w:sz w:val="24"/>
          <w:szCs w:val="24"/>
          <w:lang w:val="en-US"/>
        </w:rPr>
        <w:t>Diskusi</w:t>
      </w:r>
    </w:p>
    <w:p w14:paraId="353D5A9D" w14:textId="77777777" w:rsidR="005A266C" w:rsidRPr="00C725DD" w:rsidRDefault="005A266C" w:rsidP="005A266C">
      <w:pPr>
        <w:spacing w:after="0" w:line="240" w:lineRule="auto"/>
        <w:jc w:val="both"/>
        <w:rPr>
          <w:rFonts w:ascii="Times New Roman" w:hAnsi="Times New Roman" w:cs="Times New Roman"/>
          <w:sz w:val="10"/>
          <w:szCs w:val="24"/>
        </w:rPr>
      </w:pPr>
    </w:p>
    <w:p w14:paraId="66DDDBC9" w14:textId="5C65860A" w:rsidR="009B475A" w:rsidRPr="009B475A" w:rsidRDefault="009B475A" w:rsidP="00DC217B">
      <w:pPr>
        <w:spacing w:after="0" w:line="240" w:lineRule="auto"/>
        <w:ind w:firstLine="720"/>
        <w:jc w:val="both"/>
        <w:rPr>
          <w:rFonts w:ascii="Times New Roman" w:hAnsi="Times New Roman" w:cs="Times New Roman"/>
          <w:sz w:val="24"/>
          <w:szCs w:val="24"/>
        </w:rPr>
      </w:pPr>
      <w:r w:rsidRPr="009B475A">
        <w:rPr>
          <w:rFonts w:ascii="Times New Roman" w:hAnsi="Times New Roman" w:cs="Times New Roman"/>
          <w:sz w:val="24"/>
          <w:szCs w:val="24"/>
        </w:rPr>
        <w:t xml:space="preserve">Implementasi PSU &amp; LA terbukti efektif untuk mengembangkan KPS mahasiswa PGSD dengan meningkatnya rata-rata derajat penguasaan, dan berbeda secara signifikan dibandingkan dengan implementasi PSU. Bukti ini diperkuat oleh adanya fakta bahwa proporsi mahasiswa yang memiliki derajat penguasaan dengan kategori sangat baik dan baik paling besar dibandingkan dengan kategori lainnya (Gambar 2). Inovasi pembelajaran dengan memanfaatkan lingkungan sekitar sebagai Laboratorium Alam menjadi faktor penting untuk mengembangkan KPS mahasiswa. Belajar secara langsung di alam sekitar lebih efektif untuk mengembangkan KPS dibandingkan dengan hanya mendapatkannya dari penuturan di kelas. </w:t>
      </w:r>
      <w:r w:rsidRPr="009B475A">
        <w:rPr>
          <w:rFonts w:ascii="Times New Roman" w:hAnsi="Times New Roman" w:cs="Times New Roman"/>
          <w:sz w:val="24"/>
          <w:szCs w:val="24"/>
        </w:rPr>
        <w:lastRenderedPageBreak/>
        <w:t>Keterampilan seyogyanya didapatkan dari latihan, dan pengetahuan awal sebagai bekal juga penting untuk mempermudah mendapatkan pencapaian yang bagus</w:t>
      </w:r>
      <w:r w:rsidR="00852599">
        <w:rPr>
          <w:rFonts w:ascii="Times New Roman" w:hAnsi="Times New Roman" w:cs="Times New Roman"/>
          <w:sz w:val="24"/>
          <w:szCs w:val="24"/>
          <w:lang w:val="en-US"/>
        </w:rPr>
        <w:t xml:space="preserve"> </w:t>
      </w:r>
      <w:r w:rsidR="00852599">
        <w:rPr>
          <w:rFonts w:ascii="Times New Roman" w:hAnsi="Times New Roman" w:cs="Times New Roman"/>
          <w:sz w:val="24"/>
          <w:szCs w:val="24"/>
          <w:lang w:val="en-US"/>
        </w:rPr>
        <w:fldChar w:fldCharType="begin" w:fldLock="1"/>
      </w:r>
      <w:r w:rsidR="00852599">
        <w:rPr>
          <w:rFonts w:ascii="Times New Roman" w:hAnsi="Times New Roman" w:cs="Times New Roman"/>
          <w:sz w:val="24"/>
          <w:szCs w:val="24"/>
          <w:lang w:val="en-US"/>
        </w:rPr>
        <w:instrText>ADDIN CSL_CITATION {"citationItems":[{"id":"ITEM-1","itemData":{"author":[{"dropping-particle":"","family":"Prayitno","given":"Baskoro Adi","non-dropping-particle":"","parse-names":false,"suffix":""},{"dropping-particle":"","family":"Corebima","given":"Duran","non-dropping-particle":"","parse-names":false,"suffix":""},{"dropping-particle":"","family":"Susilo","given":"Herawati","non-dropping-particle":"","parse-names":false,"suffix":""},{"dropping-particle":"","family":"Zubaidah","given":"Siti","non-dropping-particle":"","parse-names":false,"suffix":""},{"dropping-particle":"","family":"Ramli","given":"Murni","non-dropping-particle":"","parse-names":false,"suffix":""}],"container-title":"Journal of Baltic Science Education","id":"ITEM-1","issue":"2","issued":{"date-parts":[["2015"]]},"page":"266-277","title":"Closing the science process skills GAP between students with high and low level academic achievement","type":"article-journal","volume":"16"},"uris":["http://www.mendeley.com/documents/?uuid=0426d856-0308-4fb2-8ae0-e29253150e67"]}],"mendeley":{"formattedCitation":"(Prayitno et al., 2015)","plainTextFormattedCitation":"(Prayitno et al., 2015)","previouslyFormattedCitation":"(Prayitno et al., 2015)"},"properties":{"noteIndex":0},"schema":"https://github.com/citation-style-language/schema/raw/master/csl-citation.json"}</w:instrText>
      </w:r>
      <w:r w:rsidR="00852599">
        <w:rPr>
          <w:rFonts w:ascii="Times New Roman" w:hAnsi="Times New Roman" w:cs="Times New Roman"/>
          <w:sz w:val="24"/>
          <w:szCs w:val="24"/>
          <w:lang w:val="en-US"/>
        </w:rPr>
        <w:fldChar w:fldCharType="separate"/>
      </w:r>
      <w:r w:rsidR="00852599" w:rsidRPr="00852599">
        <w:rPr>
          <w:rFonts w:ascii="Times New Roman" w:hAnsi="Times New Roman" w:cs="Times New Roman"/>
          <w:noProof/>
          <w:sz w:val="24"/>
          <w:szCs w:val="24"/>
          <w:lang w:val="en-US"/>
        </w:rPr>
        <w:t>(Prayitno et al., 2015)</w:t>
      </w:r>
      <w:r w:rsidR="00852599">
        <w:rPr>
          <w:rFonts w:ascii="Times New Roman" w:hAnsi="Times New Roman" w:cs="Times New Roman"/>
          <w:sz w:val="24"/>
          <w:szCs w:val="24"/>
          <w:lang w:val="en-US"/>
        </w:rPr>
        <w:fldChar w:fldCharType="end"/>
      </w:r>
      <w:r w:rsidRPr="009B475A">
        <w:rPr>
          <w:rFonts w:ascii="Times New Roman" w:hAnsi="Times New Roman" w:cs="Times New Roman"/>
          <w:sz w:val="24"/>
          <w:szCs w:val="24"/>
        </w:rPr>
        <w:t>. Implementasi PSU dan LA ini memfasilitasi keduanya. Secara daring dengan memanfaatkan SPADA Unram, mahasiswa dibekali sejumlah pengetahuan terkait produk sains yang diperlukan agar pengalaman belajar secara luring dengan memanfaatkan Laboratorium Alam menjadi lebih bermakna. Hasil pembelajaran melalui pengalaman belajar tersebut adalah rata-rata KPS mahasiswa memiliki kategori baik.</w:t>
      </w:r>
    </w:p>
    <w:p w14:paraId="6845A78D" w14:textId="4B27862E" w:rsidR="009B475A" w:rsidRPr="009B475A" w:rsidRDefault="009B475A" w:rsidP="00DC217B">
      <w:pPr>
        <w:spacing w:after="0" w:line="240" w:lineRule="auto"/>
        <w:ind w:firstLine="720"/>
        <w:jc w:val="both"/>
        <w:rPr>
          <w:rFonts w:ascii="Times New Roman" w:hAnsi="Times New Roman" w:cs="Times New Roman"/>
          <w:sz w:val="24"/>
          <w:szCs w:val="24"/>
        </w:rPr>
      </w:pPr>
      <w:r w:rsidRPr="009B475A">
        <w:rPr>
          <w:rFonts w:ascii="Times New Roman" w:hAnsi="Times New Roman" w:cs="Times New Roman"/>
          <w:sz w:val="24"/>
          <w:szCs w:val="24"/>
        </w:rPr>
        <w:t>Pemberian pengalaman belajar yang relatif sama, dan dapat mengembangkan KPS mahasiswa juga dilakukan oleh peneliti lain. Beberapa di antaranya pemanfaatan bahan-bahan lokal dalam pembelajaran sains melalui praktikum</w:t>
      </w:r>
      <w:r w:rsidR="00852599">
        <w:rPr>
          <w:rFonts w:ascii="Times New Roman" w:hAnsi="Times New Roman" w:cs="Times New Roman"/>
          <w:sz w:val="24"/>
          <w:szCs w:val="24"/>
          <w:lang w:val="en-US"/>
        </w:rPr>
        <w:t xml:space="preserve"> </w:t>
      </w:r>
      <w:r w:rsidR="00852599">
        <w:rPr>
          <w:rFonts w:ascii="Times New Roman" w:hAnsi="Times New Roman" w:cs="Times New Roman"/>
          <w:sz w:val="24"/>
          <w:szCs w:val="24"/>
          <w:lang w:val="en-US"/>
        </w:rPr>
        <w:fldChar w:fldCharType="begin" w:fldLock="1"/>
      </w:r>
      <w:r w:rsidR="00852599">
        <w:rPr>
          <w:rFonts w:ascii="Times New Roman" w:hAnsi="Times New Roman" w:cs="Times New Roman"/>
          <w:sz w:val="24"/>
          <w:szCs w:val="24"/>
          <w:lang w:val="en-US"/>
        </w:rPr>
        <w:instrText>ADDIN CSL_CITATION {"citationItems":[{"id":"ITEM-1","itemData":{"author":[{"dropping-particle":"","family":"Prajoko","given":"Setiyo","non-dropping-particle":"","parse-names":false,"suffix":""},{"dropping-particle":"","family":"Amin","given":"Mohamad","non-dropping-particle":"","parse-names":false,"suffix":""},{"dropping-particle":"","family":"Rohman","given":"Fatchur","non-dropping-particle":"","parse-names":false,"suffix":""},{"dropping-particle":"","family":"Gipayana","given":"Muhana","non-dropping-particle":"","parse-names":false,"suffix":""}],"container-title":"Educational Research International","id":"ITEM-1","issue":"4","issued":{"date-parts":[["2016"]]},"page":"1-10","title":"The effect of local materials usage for science practicum on students’ science process skills","type":"article-journal","volume":"5"},"uris":["http://www.mendeley.com/documents/?uuid=1f60255a-41d7-4832-bcf5-4ea776edc3ab"]}],"mendeley":{"formattedCitation":"(Prajoko et al., 2016)","plainTextFormattedCitation":"(Prajoko et al., 2016)","previouslyFormattedCitation":"(Prajoko et al., 2016)"},"properties":{"noteIndex":0},"schema":"https://github.com/citation-style-language/schema/raw/master/csl-citation.json"}</w:instrText>
      </w:r>
      <w:r w:rsidR="00852599">
        <w:rPr>
          <w:rFonts w:ascii="Times New Roman" w:hAnsi="Times New Roman" w:cs="Times New Roman"/>
          <w:sz w:val="24"/>
          <w:szCs w:val="24"/>
          <w:lang w:val="en-US"/>
        </w:rPr>
        <w:fldChar w:fldCharType="separate"/>
      </w:r>
      <w:r w:rsidR="00852599" w:rsidRPr="00852599">
        <w:rPr>
          <w:rFonts w:ascii="Times New Roman" w:hAnsi="Times New Roman" w:cs="Times New Roman"/>
          <w:noProof/>
          <w:sz w:val="24"/>
          <w:szCs w:val="24"/>
          <w:lang w:val="en-US"/>
        </w:rPr>
        <w:t>(Prajoko et al., 2016)</w:t>
      </w:r>
      <w:r w:rsidR="00852599">
        <w:rPr>
          <w:rFonts w:ascii="Times New Roman" w:hAnsi="Times New Roman" w:cs="Times New Roman"/>
          <w:sz w:val="24"/>
          <w:szCs w:val="24"/>
          <w:lang w:val="en-US"/>
        </w:rPr>
        <w:fldChar w:fldCharType="end"/>
      </w:r>
      <w:r w:rsidRPr="009B475A">
        <w:rPr>
          <w:rFonts w:ascii="Times New Roman" w:hAnsi="Times New Roman" w:cs="Times New Roman"/>
          <w:sz w:val="24"/>
          <w:szCs w:val="24"/>
        </w:rPr>
        <w:t>, strategi jigsaw berbasis praktikum</w:t>
      </w:r>
      <w:r w:rsidR="00852599">
        <w:rPr>
          <w:rFonts w:ascii="Times New Roman" w:hAnsi="Times New Roman" w:cs="Times New Roman"/>
          <w:sz w:val="24"/>
          <w:szCs w:val="24"/>
          <w:lang w:val="en-US"/>
        </w:rPr>
        <w:t xml:space="preserve"> </w:t>
      </w:r>
      <w:r w:rsidR="00852599">
        <w:rPr>
          <w:rFonts w:ascii="Times New Roman" w:hAnsi="Times New Roman" w:cs="Times New Roman"/>
          <w:sz w:val="24"/>
          <w:szCs w:val="24"/>
          <w:lang w:val="en-US"/>
        </w:rPr>
        <w:fldChar w:fldCharType="begin" w:fldLock="1"/>
      </w:r>
      <w:r w:rsidR="00852599">
        <w:rPr>
          <w:rFonts w:ascii="Times New Roman" w:hAnsi="Times New Roman" w:cs="Times New Roman"/>
          <w:sz w:val="24"/>
          <w:szCs w:val="24"/>
          <w:lang w:val="en-US"/>
        </w:rPr>
        <w:instrText>ADDIN CSL_CITATION {"citationItems":[{"id":"ITEM-1","itemData":{"DOI":"10.24235/sc.educatia.v8i2.5168","author":[{"dropping-particle":"","family":"Nau","given":"Getrudis Wilhelmina","non-dropping-particle":"","parse-names":false,"suffix":""},{"dropping-particle":"","family":"Djalo","given":"Aloysius","non-dropping-particle":"","parse-names":false,"suffix":""}],"container-title":"Scientiae Educatia: Jurnal Pendidikan Sains","id":"ITEM-1","issue":"2","issued":{"date-parts":[["2019"]]},"page":"196-206","title":"The effect of practical-based jigsaw strategy on science process skills of students","type":"article-journal","volume":"8"},"uris":["http://www.mendeley.com/documents/?uuid=0167eb9e-3ebc-4300-a9a8-602887670c5a"]}],"mendeley":{"formattedCitation":"(Nau &amp; Djalo, 2019)","plainTextFormattedCitation":"(Nau &amp; Djalo, 2019)","previouslyFormattedCitation":"(Nau &amp; Djalo, 2019)"},"properties":{"noteIndex":0},"schema":"https://github.com/citation-style-language/schema/raw/master/csl-citation.json"}</w:instrText>
      </w:r>
      <w:r w:rsidR="00852599">
        <w:rPr>
          <w:rFonts w:ascii="Times New Roman" w:hAnsi="Times New Roman" w:cs="Times New Roman"/>
          <w:sz w:val="24"/>
          <w:szCs w:val="24"/>
          <w:lang w:val="en-US"/>
        </w:rPr>
        <w:fldChar w:fldCharType="separate"/>
      </w:r>
      <w:r w:rsidR="00852599" w:rsidRPr="00852599">
        <w:rPr>
          <w:rFonts w:ascii="Times New Roman" w:hAnsi="Times New Roman" w:cs="Times New Roman"/>
          <w:noProof/>
          <w:sz w:val="24"/>
          <w:szCs w:val="24"/>
          <w:lang w:val="en-US"/>
        </w:rPr>
        <w:t>(Nau &amp; Djalo, 2019)</w:t>
      </w:r>
      <w:r w:rsidR="00852599">
        <w:rPr>
          <w:rFonts w:ascii="Times New Roman" w:hAnsi="Times New Roman" w:cs="Times New Roman"/>
          <w:sz w:val="24"/>
          <w:szCs w:val="24"/>
          <w:lang w:val="en-US"/>
        </w:rPr>
        <w:fldChar w:fldCharType="end"/>
      </w:r>
      <w:r w:rsidRPr="009B475A">
        <w:rPr>
          <w:rFonts w:ascii="Times New Roman" w:hAnsi="Times New Roman" w:cs="Times New Roman"/>
          <w:sz w:val="24"/>
          <w:szCs w:val="24"/>
        </w:rPr>
        <w:t xml:space="preserve">, model praktikum </w:t>
      </w:r>
      <w:r w:rsidRPr="00852599">
        <w:rPr>
          <w:rFonts w:ascii="Times New Roman" w:hAnsi="Times New Roman" w:cs="Times New Roman"/>
          <w:i/>
          <w:sz w:val="24"/>
          <w:szCs w:val="24"/>
        </w:rPr>
        <w:t>problem solving laboratory</w:t>
      </w:r>
      <w:r w:rsidR="00852599">
        <w:rPr>
          <w:rFonts w:ascii="Times New Roman" w:hAnsi="Times New Roman" w:cs="Times New Roman"/>
          <w:sz w:val="24"/>
          <w:szCs w:val="24"/>
          <w:lang w:val="en-US"/>
        </w:rPr>
        <w:t xml:space="preserve"> </w:t>
      </w:r>
      <w:r w:rsidR="00852599">
        <w:rPr>
          <w:rFonts w:ascii="Times New Roman" w:hAnsi="Times New Roman" w:cs="Times New Roman"/>
          <w:sz w:val="24"/>
          <w:szCs w:val="24"/>
          <w:lang w:val="en-US"/>
        </w:rPr>
        <w:fldChar w:fldCharType="begin" w:fldLock="1"/>
      </w:r>
      <w:r w:rsidR="00852599">
        <w:rPr>
          <w:rFonts w:ascii="Times New Roman" w:hAnsi="Times New Roman" w:cs="Times New Roman"/>
          <w:sz w:val="24"/>
          <w:szCs w:val="24"/>
          <w:lang w:val="en-US"/>
        </w:rPr>
        <w:instrText>ADDIN CSL_CITATION {"citationItems":[{"id":"ITEM-1","itemData":{"ISBN":"9786021965580","author":[{"dropping-particle":"","family":"Malik","given":"Adam","non-dropping-particle":"","parse-names":false,"suffix":""},{"dropping-particle":"","family":"Handayani","given":"Wahyuni","non-dropping-particle":"","parse-names":false,"suffix":""},{"dropping-particle":"","family":"Nuraini","given":"Rany","non-dropping-particle":"","parse-names":false,"suffix":""}],"container-title":"Simposium Nasional Inovasi dan Pembelajaran Sains","editor":[{"dropping-particle":"","family":"Dwi Irwanto, Fiki Taufik Akbar","given":"Akfiny Hasdi Aimon","non-dropping-particle":"","parse-names":false,"suffix":""}],"id":"ITEM-1","issued":{"date-parts":[["2015"]]},"page":"193-196","publisher":"Program Studi Magister Pengajaran Fisika FMIPA ITB","publisher-place":"Bandung","title":"Model praktikum problem solving laboratory untuk meningkatkan keterampilan proses sains mahasiswa","type":"paper-conference"},"uris":["http://www.mendeley.com/documents/?uuid=176323ea-1967-413d-8f8f-4f2ce664e6f0"]}],"mendeley":{"formattedCitation":"(Malik et al., 2015)","plainTextFormattedCitation":"(Malik et al., 2015)","previouslyFormattedCitation":"(Malik et al., 2015)"},"properties":{"noteIndex":0},"schema":"https://github.com/citation-style-language/schema/raw/master/csl-citation.json"}</w:instrText>
      </w:r>
      <w:r w:rsidR="00852599">
        <w:rPr>
          <w:rFonts w:ascii="Times New Roman" w:hAnsi="Times New Roman" w:cs="Times New Roman"/>
          <w:sz w:val="24"/>
          <w:szCs w:val="24"/>
          <w:lang w:val="en-US"/>
        </w:rPr>
        <w:fldChar w:fldCharType="separate"/>
      </w:r>
      <w:r w:rsidR="00852599" w:rsidRPr="00852599">
        <w:rPr>
          <w:rFonts w:ascii="Times New Roman" w:hAnsi="Times New Roman" w:cs="Times New Roman"/>
          <w:noProof/>
          <w:sz w:val="24"/>
          <w:szCs w:val="24"/>
          <w:lang w:val="en-US"/>
        </w:rPr>
        <w:t>(Malik et al., 2015)</w:t>
      </w:r>
      <w:r w:rsidR="00852599">
        <w:rPr>
          <w:rFonts w:ascii="Times New Roman" w:hAnsi="Times New Roman" w:cs="Times New Roman"/>
          <w:sz w:val="24"/>
          <w:szCs w:val="24"/>
          <w:lang w:val="en-US"/>
        </w:rPr>
        <w:fldChar w:fldCharType="end"/>
      </w:r>
      <w:r w:rsidRPr="009B475A">
        <w:rPr>
          <w:rFonts w:ascii="Times New Roman" w:hAnsi="Times New Roman" w:cs="Times New Roman"/>
          <w:sz w:val="24"/>
          <w:szCs w:val="24"/>
        </w:rPr>
        <w:t>, program pendidikan sains berbasis proyek</w:t>
      </w:r>
      <w:r w:rsidR="00852599">
        <w:rPr>
          <w:rFonts w:ascii="Times New Roman" w:hAnsi="Times New Roman" w:cs="Times New Roman"/>
          <w:sz w:val="24"/>
          <w:szCs w:val="24"/>
          <w:lang w:val="en-US"/>
        </w:rPr>
        <w:t xml:space="preserve"> </w:t>
      </w:r>
      <w:r w:rsidR="00852599">
        <w:rPr>
          <w:rFonts w:ascii="Times New Roman" w:hAnsi="Times New Roman" w:cs="Times New Roman"/>
          <w:sz w:val="24"/>
          <w:szCs w:val="24"/>
          <w:lang w:val="en-US"/>
        </w:rPr>
        <w:fldChar w:fldCharType="begin" w:fldLock="1"/>
      </w:r>
      <w:r w:rsidR="00852599">
        <w:rPr>
          <w:rFonts w:ascii="Times New Roman" w:hAnsi="Times New Roman" w:cs="Times New Roman"/>
          <w:sz w:val="24"/>
          <w:szCs w:val="24"/>
          <w:lang w:val="en-US"/>
        </w:rPr>
        <w:instrText>ADDIN CSL_CITATION {"citationItems":[{"id":"ITEM-1","itemData":{"author":[{"dropping-particle":"","family":"Can","given":"Bilge","non-dropping-particle":"","parse-names":false,"suffix":""},{"dropping-particle":"","family":"Yildiz-Demirtas","given":"Vesile","non-dropping-particle":"","parse-names":false,"suffix":""},{"dropping-particle":"","family":"Altun","given":"Erdi","non-dropping-particle":"","parse-names":false,"suffix":""}],"container-title":"Journal of Baltic Science Education","id":"ITEM-1","issue":"3","issued":{"date-parts":[["2017"]]},"page":"395-413","title":"The effect of project- based science education programme on scientific process skills and conceptions of Kindergarten students","type":"article-journal","volume":"16"},"uris":["http://www.mendeley.com/documents/?uuid=d536a1bb-7e8e-4699-842f-a9d194128296"]}],"mendeley":{"formattedCitation":"(Can et al., 2017)","plainTextFormattedCitation":"(Can et al., 2017)","previouslyFormattedCitation":"(Can et al., 2017)"},"properties":{"noteIndex":0},"schema":"https://github.com/citation-style-language/schema/raw/master/csl-citation.json"}</w:instrText>
      </w:r>
      <w:r w:rsidR="00852599">
        <w:rPr>
          <w:rFonts w:ascii="Times New Roman" w:hAnsi="Times New Roman" w:cs="Times New Roman"/>
          <w:sz w:val="24"/>
          <w:szCs w:val="24"/>
          <w:lang w:val="en-US"/>
        </w:rPr>
        <w:fldChar w:fldCharType="separate"/>
      </w:r>
      <w:r w:rsidR="00852599" w:rsidRPr="00852599">
        <w:rPr>
          <w:rFonts w:ascii="Times New Roman" w:hAnsi="Times New Roman" w:cs="Times New Roman"/>
          <w:noProof/>
          <w:sz w:val="24"/>
          <w:szCs w:val="24"/>
          <w:lang w:val="en-US"/>
        </w:rPr>
        <w:t>(Can et al., 2017)</w:t>
      </w:r>
      <w:r w:rsidR="00852599">
        <w:rPr>
          <w:rFonts w:ascii="Times New Roman" w:hAnsi="Times New Roman" w:cs="Times New Roman"/>
          <w:sz w:val="24"/>
          <w:szCs w:val="24"/>
          <w:lang w:val="en-US"/>
        </w:rPr>
        <w:fldChar w:fldCharType="end"/>
      </w:r>
      <w:r w:rsidRPr="009B475A">
        <w:rPr>
          <w:rFonts w:ascii="Times New Roman" w:hAnsi="Times New Roman" w:cs="Times New Roman"/>
          <w:sz w:val="24"/>
          <w:szCs w:val="24"/>
        </w:rPr>
        <w:t>, dan pembelajaran berbasis masalah melalui kegiatan praktikum</w:t>
      </w:r>
      <w:r w:rsidR="00852599">
        <w:rPr>
          <w:rFonts w:ascii="Times New Roman" w:hAnsi="Times New Roman" w:cs="Times New Roman"/>
          <w:sz w:val="24"/>
          <w:szCs w:val="24"/>
          <w:lang w:val="en-US"/>
        </w:rPr>
        <w:t xml:space="preserve"> </w:t>
      </w:r>
      <w:r w:rsidR="00852599">
        <w:rPr>
          <w:rFonts w:ascii="Times New Roman" w:hAnsi="Times New Roman" w:cs="Times New Roman"/>
          <w:sz w:val="24"/>
          <w:szCs w:val="24"/>
          <w:lang w:val="en-US"/>
        </w:rPr>
        <w:fldChar w:fldCharType="begin" w:fldLock="1"/>
      </w:r>
      <w:r w:rsidR="00852599">
        <w:rPr>
          <w:rFonts w:ascii="Times New Roman" w:hAnsi="Times New Roman" w:cs="Times New Roman"/>
          <w:sz w:val="24"/>
          <w:szCs w:val="24"/>
          <w:lang w:val="en-US"/>
        </w:rPr>
        <w:instrText>ADDIN CSL_CITATION {"citationItems":[{"id":"ITEM-1","itemData":{"DOI":"10.29333/iji.2019.12177a","author":[{"dropping-particle":"","family":"Duda","given":"Hilarius Jago","non-dropping-particle":"","parse-names":false,"suffix":""},{"dropping-particle":"","family":"Herawati Susilo","given":"","non-dropping-particle":"","parse-names":false,"suffix":""},{"dropping-particle":"","family":"Newcombe","given":"Peter","non-dropping-particle":"","parse-names":false,"suffix":""}],"container-title":"International Journal of Instruction","id":"ITEM-1","issue":"1","issued":{"date-parts":[["2019"]]},"page":"1207-1222","title":"Enhancing different ethnicity science process skills: problem-based learning through practicum and authentic assessment","type":"article-journal","volume":"12"},"uris":["http://www.mendeley.com/documents/?uuid=f9fa8190-0675-4f7a-9098-802bbed08d9b"]}],"mendeley":{"formattedCitation":"(Duda et al., 2019)","plainTextFormattedCitation":"(Duda et al., 2019)","previouslyFormattedCitation":"(Duda et al., 2019)"},"properties":{"noteIndex":0},"schema":"https://github.com/citation-style-language/schema/raw/master/csl-citation.json"}</w:instrText>
      </w:r>
      <w:r w:rsidR="00852599">
        <w:rPr>
          <w:rFonts w:ascii="Times New Roman" w:hAnsi="Times New Roman" w:cs="Times New Roman"/>
          <w:sz w:val="24"/>
          <w:szCs w:val="24"/>
          <w:lang w:val="en-US"/>
        </w:rPr>
        <w:fldChar w:fldCharType="separate"/>
      </w:r>
      <w:r w:rsidR="00852599" w:rsidRPr="00852599">
        <w:rPr>
          <w:rFonts w:ascii="Times New Roman" w:hAnsi="Times New Roman" w:cs="Times New Roman"/>
          <w:noProof/>
          <w:sz w:val="24"/>
          <w:szCs w:val="24"/>
          <w:lang w:val="en-US"/>
        </w:rPr>
        <w:t>(Duda et al., 2019)</w:t>
      </w:r>
      <w:r w:rsidR="00852599">
        <w:rPr>
          <w:rFonts w:ascii="Times New Roman" w:hAnsi="Times New Roman" w:cs="Times New Roman"/>
          <w:sz w:val="24"/>
          <w:szCs w:val="24"/>
          <w:lang w:val="en-US"/>
        </w:rPr>
        <w:fldChar w:fldCharType="end"/>
      </w:r>
      <w:r w:rsidRPr="009B475A">
        <w:rPr>
          <w:rFonts w:ascii="Times New Roman" w:hAnsi="Times New Roman" w:cs="Times New Roman"/>
          <w:sz w:val="24"/>
          <w:szCs w:val="24"/>
        </w:rPr>
        <w:t>. Fasilitas pembelajaran lain yang dapat meningkatkan KPS mahasiswa di antaranya implementasi model pembelajaran</w:t>
      </w:r>
      <w:r w:rsidR="00852599">
        <w:rPr>
          <w:rFonts w:ascii="Times New Roman" w:hAnsi="Times New Roman" w:cs="Times New Roman"/>
          <w:sz w:val="24"/>
          <w:szCs w:val="24"/>
          <w:lang w:val="en-US"/>
        </w:rPr>
        <w:t xml:space="preserve"> </w:t>
      </w:r>
      <w:r w:rsidR="00852599">
        <w:rPr>
          <w:rFonts w:ascii="Times New Roman" w:hAnsi="Times New Roman" w:cs="Times New Roman"/>
          <w:sz w:val="24"/>
          <w:szCs w:val="24"/>
          <w:lang w:val="en-US"/>
        </w:rPr>
        <w:fldChar w:fldCharType="begin" w:fldLock="1"/>
      </w:r>
      <w:r w:rsidR="00852599">
        <w:rPr>
          <w:rFonts w:ascii="Times New Roman" w:hAnsi="Times New Roman" w:cs="Times New Roman"/>
          <w:sz w:val="24"/>
          <w:szCs w:val="24"/>
          <w:lang w:val="en-US"/>
        </w:rPr>
        <w:instrText>ADDIN CSL_CITATION {"citationItems":[{"id":"ITEM-1","itemData":{"author":[{"dropping-particle":"","family":"Limatahu","given":"Iqbal","non-dropping-particle":"","parse-names":false,"suffix":""},{"dropping-particle":"","family":"Wasis","given":"","non-dropping-particle":"","parse-names":false,"suffix":""},{"dropping-particle":"","family":"Sutoyo","given":"Suyatno","non-dropping-particle":"","parse-names":false,"suffix":""},{"dropping-particle":"","family":"Prahani","given":"Binar Kurnia","non-dropping-particle":"","parse-names":false,"suffix":""}],"container-title":"Journal of Baltic Science Education","id":"ITEM-1","issue":"5","issued":{"date-parts":[["2018"]]},"page":"812-827","title":"Development of ccdsr teaching model to improve science process skills of pre-service physics teachers","type":"article-journal","volume":"17"},"uris":["http://www.mendeley.com/documents/?uuid=4e1f9d72-9043-4509-9e34-113575816b69"]},{"id":"ITEM-2","itemData":{"author":[{"dropping-particle":"","family":"Malau","given":"Santy Menitulo","non-dropping-particle":"","parse-names":false,"suffix":""},{"dropping-particle":"","family":"Motlan","given":"","non-dropping-particle":"","parse-names":false,"suffix":""},{"dropping-particle":"","family":"Sirait","given":"Makmur","non-dropping-particle":"","parse-names":false,"suffix":""},{"dropping-particle":"","family":"Lubis","given":"Rajo Hasim","non-dropping-particle":"","parse-names":false,"suffix":""}],"container-title":"Journal of Transformative Education and Educational Leadership","id":"ITEM-2","issue":"2","issued":{"date-parts":[["2019"]]},"page":"29 - 37","title":"The effect of guided inquiry learning model and creativity on students science process skills","type":"article-journal","volume":"1"},"uris":["http://www.mendeley.com/documents/?uuid=73eae08e-7977-41eb-9ff1-5870b86c1054"]}],"mendeley":{"formattedCitation":"(Limatahu et al., 2018; Malau et al., 2019)","plainTextFormattedCitation":"(Limatahu et al., 2018; Malau et al., 2019)","previouslyFormattedCitation":"(Limatahu et al., 2018; Malau et al., 2019)"},"properties":{"noteIndex":0},"schema":"https://github.com/citation-style-language/schema/raw/master/csl-citation.json"}</w:instrText>
      </w:r>
      <w:r w:rsidR="00852599">
        <w:rPr>
          <w:rFonts w:ascii="Times New Roman" w:hAnsi="Times New Roman" w:cs="Times New Roman"/>
          <w:sz w:val="24"/>
          <w:szCs w:val="24"/>
          <w:lang w:val="en-US"/>
        </w:rPr>
        <w:fldChar w:fldCharType="separate"/>
      </w:r>
      <w:r w:rsidR="00852599" w:rsidRPr="00852599">
        <w:rPr>
          <w:rFonts w:ascii="Times New Roman" w:hAnsi="Times New Roman" w:cs="Times New Roman"/>
          <w:noProof/>
          <w:sz w:val="24"/>
          <w:szCs w:val="24"/>
          <w:lang w:val="en-US"/>
        </w:rPr>
        <w:t>(Limatahu et al., 2018; Malau et al., 2019)</w:t>
      </w:r>
      <w:r w:rsidR="00852599">
        <w:rPr>
          <w:rFonts w:ascii="Times New Roman" w:hAnsi="Times New Roman" w:cs="Times New Roman"/>
          <w:sz w:val="24"/>
          <w:szCs w:val="24"/>
          <w:lang w:val="en-US"/>
        </w:rPr>
        <w:fldChar w:fldCharType="end"/>
      </w:r>
      <w:r w:rsidRPr="009B475A">
        <w:rPr>
          <w:rFonts w:ascii="Times New Roman" w:hAnsi="Times New Roman" w:cs="Times New Roman"/>
          <w:sz w:val="24"/>
          <w:szCs w:val="24"/>
        </w:rPr>
        <w:t>, dan pemanfaatan berbagai media</w:t>
      </w:r>
      <w:r w:rsidR="00852599">
        <w:rPr>
          <w:rFonts w:ascii="Times New Roman" w:hAnsi="Times New Roman" w:cs="Times New Roman"/>
          <w:sz w:val="24"/>
          <w:szCs w:val="24"/>
          <w:lang w:val="en-US"/>
        </w:rPr>
        <w:t xml:space="preserve"> </w:t>
      </w:r>
      <w:r w:rsidR="00852599">
        <w:rPr>
          <w:rFonts w:ascii="Times New Roman" w:hAnsi="Times New Roman" w:cs="Times New Roman"/>
          <w:sz w:val="24"/>
          <w:szCs w:val="24"/>
          <w:lang w:val="en-US"/>
        </w:rPr>
        <w:fldChar w:fldCharType="begin" w:fldLock="1"/>
      </w:r>
      <w:r w:rsidR="00852599">
        <w:rPr>
          <w:rFonts w:ascii="Times New Roman" w:hAnsi="Times New Roman" w:cs="Times New Roman"/>
          <w:sz w:val="24"/>
          <w:szCs w:val="24"/>
          <w:lang w:val="en-US"/>
        </w:rPr>
        <w:instrText>ADDIN CSL_CITATION {"citationItems":[{"id":"ITEM-1","itemData":{"author":[{"dropping-particle":"","family":"Kelana","given":"Jajang Bayu","non-dropping-particle":"","parse-names":false,"suffix":""},{"dropping-particle":"","family":"Muftianti","given":"Agni","non-dropping-particle":"","parse-names":false,"suffix":""},{"dropping-particle":"","family":"Samsudin","given":"Asep","non-dropping-particle":"","parse-names":false,"suffix":""}],"container-title":"urnal Ilmiah P2M STKIP Siliwangi","id":"ITEM-1","issue":"1","issued":{"date-parts":[["2020"]]},"page":"48-54","title":"Pemanfaatan media pembelajaran dalam meningkatkan keterampilan proses sains dan motivasi belajar mahasiswa PGSD","type":"article-journal","volume":"7"},"uris":["http://www.mendeley.com/documents/?uuid=cdae6d87-f545-4943-a51d-3e894b671f07"]},{"id":"ITEM-2","itemData":{"DOI":"10.2229/jpbi.v6i1. 10225","author":[{"dropping-particle":"","family":"Patresia","given":"Indri","non-dropping-particle":"","parse-names":false,"suffix":""},{"dropping-particle":"","family":"Silitonga","given":"Melva","non-dropping-particle":"","parse-names":false,"suffix":""},{"dropping-particle":"","family":"Ginting","given":"Aminata","non-dropping-particle":"","parse-names":false,"suffix":""}],"container-title":"JPBI (Jurnal Pendidikan Biologi Indonesia)","id":"ITEM-2","issue":"1","issued":{"date-parts":[["2020"]]},"page":"147-156","title":"Developing biology student s ’ worksheet based on STEAM to empower science process skills","type":"article-journal","volume":"6"},"uris":["http://www.mendeley.com/documents/?uuid=5ca022ac-2c34-4b4a-a50d-54b4449ccf84"]}],"mendeley":{"formattedCitation":"(Kelana et al., 2020; Patresia et al., 2020)","plainTextFormattedCitation":"(Kelana et al., 2020; Patresia et al., 2020)","previouslyFormattedCitation":"(Kelana et al., 2020; Patresia et al., 2020)"},"properties":{"noteIndex":0},"schema":"https://github.com/citation-style-language/schema/raw/master/csl-citation.json"}</w:instrText>
      </w:r>
      <w:r w:rsidR="00852599">
        <w:rPr>
          <w:rFonts w:ascii="Times New Roman" w:hAnsi="Times New Roman" w:cs="Times New Roman"/>
          <w:sz w:val="24"/>
          <w:szCs w:val="24"/>
          <w:lang w:val="en-US"/>
        </w:rPr>
        <w:fldChar w:fldCharType="separate"/>
      </w:r>
      <w:r w:rsidR="00852599" w:rsidRPr="00852599">
        <w:rPr>
          <w:rFonts w:ascii="Times New Roman" w:hAnsi="Times New Roman" w:cs="Times New Roman"/>
          <w:noProof/>
          <w:sz w:val="24"/>
          <w:szCs w:val="24"/>
          <w:lang w:val="en-US"/>
        </w:rPr>
        <w:t>(Kelana et al., 2020; Patresia et al., 2020)</w:t>
      </w:r>
      <w:r w:rsidR="00852599">
        <w:rPr>
          <w:rFonts w:ascii="Times New Roman" w:hAnsi="Times New Roman" w:cs="Times New Roman"/>
          <w:sz w:val="24"/>
          <w:szCs w:val="24"/>
          <w:lang w:val="en-US"/>
        </w:rPr>
        <w:fldChar w:fldCharType="end"/>
      </w:r>
      <w:r w:rsidRPr="009B475A">
        <w:rPr>
          <w:rFonts w:ascii="Times New Roman" w:hAnsi="Times New Roman" w:cs="Times New Roman"/>
          <w:sz w:val="24"/>
          <w:szCs w:val="24"/>
        </w:rPr>
        <w:t>.  Kesamaan antara fasilitas-fasilitas pembelajaran tersebut dengan implementasi PLU &amp; LA adalah melatih mahasiswa melakukan penyelidikan melalui proses ilmiah untuk mendapatkan produk sains. Pada implementasi PSU &amp; LA di mata kuliah IAD ini, mahasiswa melakukan pengamatan dan pengukuran terhadap komponen dan interaksi yang terjadi pada ekosistem yang ada di lingkungan sekitar tempat tinggal. Berdasarkan data yang ada, mahasiswa dibimbing untuk membuat model rantai dan jaring-jaring makanan yang mungkin terbentuk. Pengalaman belajar tersebut membuat beberapa mahasiswa mampu mencapai kategori sangat baik.</w:t>
      </w:r>
    </w:p>
    <w:p w14:paraId="5339BDE3" w14:textId="02D291C0" w:rsidR="009B475A" w:rsidRPr="009B475A" w:rsidRDefault="009B475A" w:rsidP="00DC217B">
      <w:pPr>
        <w:spacing w:after="0" w:line="240" w:lineRule="auto"/>
        <w:ind w:firstLine="720"/>
        <w:jc w:val="both"/>
        <w:rPr>
          <w:rFonts w:ascii="Times New Roman" w:hAnsi="Times New Roman" w:cs="Times New Roman"/>
          <w:sz w:val="24"/>
          <w:szCs w:val="24"/>
        </w:rPr>
      </w:pPr>
      <w:r w:rsidRPr="009B475A">
        <w:rPr>
          <w:rFonts w:ascii="Times New Roman" w:hAnsi="Times New Roman" w:cs="Times New Roman"/>
          <w:sz w:val="24"/>
          <w:szCs w:val="24"/>
        </w:rPr>
        <w:t>Mahasiswa yang memiliki kategori KPS sangat baik, baik dan cukup predominan dengan dengan proporsi total sebesar 75.29% (Gambar 2). Artinya implementasi PSU &amp; LA efektif untuk mengembangkan KPS sebagian besar mahasiswa. Kelompok mahasiswa ini memiliki adaptasi yang tinggi sehingga latihan dalam beberapa minggu sudah mampu meningkatkan keterampilannya secara signifikan. Pembelajaran tersebut juga sesuai dengan karakteristik mereka. Implementasi PSU &amp; LA merupakan hal baru. Inovasi pembelajaran ini membuat 75.29% mahasiswa termotivasi, dan berdampak positif terhadap pengembangan derajat penguasaan KPSnya. Implementasi pembelajaran yang baru sebagai bentuk inovasi, dan berdampak positif terhadap peningkatan KPS sebagain besar mahasiswa umum terjadi. Misalnya implementasi model pembelajaran berbasis masalah terbukti dapat meningkatkan KPS mahasiswa di mana semua indikator dicapai dengan kategori baik</w:t>
      </w:r>
      <w:r w:rsidR="00852599">
        <w:rPr>
          <w:rFonts w:ascii="Times New Roman" w:hAnsi="Times New Roman" w:cs="Times New Roman"/>
          <w:sz w:val="24"/>
          <w:szCs w:val="24"/>
          <w:lang w:val="en-US"/>
        </w:rPr>
        <w:t xml:space="preserve"> </w:t>
      </w:r>
      <w:r w:rsidR="00852599">
        <w:rPr>
          <w:rFonts w:ascii="Times New Roman" w:hAnsi="Times New Roman" w:cs="Times New Roman"/>
          <w:sz w:val="24"/>
          <w:szCs w:val="24"/>
          <w:lang w:val="en-US"/>
        </w:rPr>
        <w:fldChar w:fldCharType="begin" w:fldLock="1"/>
      </w:r>
      <w:r w:rsidR="00782AD7">
        <w:rPr>
          <w:rFonts w:ascii="Times New Roman" w:hAnsi="Times New Roman" w:cs="Times New Roman"/>
          <w:sz w:val="24"/>
          <w:szCs w:val="24"/>
          <w:lang w:val="en-US"/>
        </w:rPr>
        <w:instrText>ADDIN CSL_CITATION {"citationItems":[{"id":"ITEM-1","itemData":{"DOI":"10.21009/1.01102","author":[{"dropping-particle":"","family":"Malik","given":"Adam","non-dropping-particle":"","parse-names":false,"suffix":""}],"container-title":"JPPPF - Jurnal Penelitian &amp; Pengembangan Pendidikan Fisika","id":"ITEM-1","issue":"1","issued":{"date-parts":[["2015"]]},"page":"9-16","title":"Model pembelajaran problem based instruction untuk meningkatkan penguasaan konsep dan keterampilan proses sains mahasiswa","type":"article-journal","volume":"1"},"uris":["http://www.mendeley.com/documents/?uuid=a9fb746b-a9cd-4b9f-9d59-78713e689d5c"]}],"mendeley":{"formattedCitation":"(Malik, 2015)","plainTextFormattedCitation":"(Malik, 2015)","previouslyFormattedCitation":"(Malik, 2015)"},"properties":{"noteIndex":0},"schema":"https://github.com/citation-style-language/schema/raw/master/csl-citation.json"}</w:instrText>
      </w:r>
      <w:r w:rsidR="00852599">
        <w:rPr>
          <w:rFonts w:ascii="Times New Roman" w:hAnsi="Times New Roman" w:cs="Times New Roman"/>
          <w:sz w:val="24"/>
          <w:szCs w:val="24"/>
          <w:lang w:val="en-US"/>
        </w:rPr>
        <w:fldChar w:fldCharType="separate"/>
      </w:r>
      <w:r w:rsidR="00852599" w:rsidRPr="00852599">
        <w:rPr>
          <w:rFonts w:ascii="Times New Roman" w:hAnsi="Times New Roman" w:cs="Times New Roman"/>
          <w:noProof/>
          <w:sz w:val="24"/>
          <w:szCs w:val="24"/>
          <w:lang w:val="en-US"/>
        </w:rPr>
        <w:t>(Malik, 2015)</w:t>
      </w:r>
      <w:r w:rsidR="00852599">
        <w:rPr>
          <w:rFonts w:ascii="Times New Roman" w:hAnsi="Times New Roman" w:cs="Times New Roman"/>
          <w:sz w:val="24"/>
          <w:szCs w:val="24"/>
          <w:lang w:val="en-US"/>
        </w:rPr>
        <w:fldChar w:fldCharType="end"/>
      </w:r>
      <w:r w:rsidRPr="009B475A">
        <w:rPr>
          <w:rFonts w:ascii="Times New Roman" w:hAnsi="Times New Roman" w:cs="Times New Roman"/>
          <w:sz w:val="24"/>
          <w:szCs w:val="24"/>
        </w:rPr>
        <w:t>. Implementasi pembelajaran inkuiri berdampak lebih positif dibandingkan dengan pembelajaran konvensional</w:t>
      </w:r>
      <w:r w:rsidR="00782AD7">
        <w:rPr>
          <w:rFonts w:ascii="Times New Roman" w:hAnsi="Times New Roman" w:cs="Times New Roman"/>
          <w:sz w:val="24"/>
          <w:szCs w:val="24"/>
          <w:lang w:val="en-US"/>
        </w:rPr>
        <w:t xml:space="preserve"> </w:t>
      </w:r>
      <w:r w:rsidR="00782AD7">
        <w:rPr>
          <w:rFonts w:ascii="Times New Roman" w:hAnsi="Times New Roman" w:cs="Times New Roman"/>
          <w:sz w:val="24"/>
          <w:szCs w:val="24"/>
          <w:lang w:val="en-US"/>
        </w:rPr>
        <w:fldChar w:fldCharType="begin" w:fldLock="1"/>
      </w:r>
      <w:r w:rsidR="00782AD7">
        <w:rPr>
          <w:rFonts w:ascii="Times New Roman" w:hAnsi="Times New Roman" w:cs="Times New Roman"/>
          <w:sz w:val="24"/>
          <w:szCs w:val="24"/>
          <w:lang w:val="en-US"/>
        </w:rPr>
        <w:instrText>ADDIN CSL_CITATION {"citationItems":[{"id":"ITEM-1","itemData":{"DOI":"10.24042/jipfalbiruni.v6i2.1891","author":[{"dropping-particle":"","family":"Nurussaniah","given":"","non-dropping-particle":"","parse-names":false,"suffix":""},{"dropping-particle":"","family":"Trisianawati","given":"Eka","non-dropping-particle":"","parse-names":false,"suffix":""},{"dropping-particle":"","family":"Sari","given":"Ira Nofita","non-dropping-particle":"","parse-names":false,"suffix":""}],"container-title":"Jurnal Ilmiah Pendidikan Fisika Al-BiRuNi","id":"ITEM-1","issue":"2","issued":{"date-parts":[["2017"]]},"page":"233-240","title":"Pembelajaran inkuiri untuk meningkatkan keterampilan proses sains calon guru fisika","type":"article-journal","volume":"06"},"uris":["http://www.mendeley.com/documents/?uuid=d65aaa4c-74e4-4381-b4e2-2c62a10f1ef4"]}],"mendeley":{"formattedCitation":"(Nurussaniah et al., 2017)","plainTextFormattedCitation":"(Nurussaniah et al., 2017)","previouslyFormattedCitation":"(Nurussaniah et al., 2017)"},"properties":{"noteIndex":0},"schema":"https://github.com/citation-style-language/schema/raw/master/csl-citation.json"}</w:instrText>
      </w:r>
      <w:r w:rsidR="00782AD7">
        <w:rPr>
          <w:rFonts w:ascii="Times New Roman" w:hAnsi="Times New Roman" w:cs="Times New Roman"/>
          <w:sz w:val="24"/>
          <w:szCs w:val="24"/>
          <w:lang w:val="en-US"/>
        </w:rPr>
        <w:fldChar w:fldCharType="separate"/>
      </w:r>
      <w:r w:rsidR="00782AD7" w:rsidRPr="00782AD7">
        <w:rPr>
          <w:rFonts w:ascii="Times New Roman" w:hAnsi="Times New Roman" w:cs="Times New Roman"/>
          <w:noProof/>
          <w:sz w:val="24"/>
          <w:szCs w:val="24"/>
          <w:lang w:val="en-US"/>
        </w:rPr>
        <w:t>(Nurussaniah et al., 2017)</w:t>
      </w:r>
      <w:r w:rsidR="00782AD7">
        <w:rPr>
          <w:rFonts w:ascii="Times New Roman" w:hAnsi="Times New Roman" w:cs="Times New Roman"/>
          <w:sz w:val="24"/>
          <w:szCs w:val="24"/>
          <w:lang w:val="en-US"/>
        </w:rPr>
        <w:fldChar w:fldCharType="end"/>
      </w:r>
      <w:r w:rsidRPr="009B475A">
        <w:rPr>
          <w:rFonts w:ascii="Times New Roman" w:hAnsi="Times New Roman" w:cs="Times New Roman"/>
          <w:sz w:val="24"/>
          <w:szCs w:val="24"/>
        </w:rPr>
        <w:t>. Rata-rata KPS mahasiswa melalui pembelajaran inkuir lebih besar (65.47 &gt; 39.79), dan berbeda secara siginifikan. Proporsi yang tidak 100% menunjukkan bahwa terdapat mahasiswa yang derajat penguaasan KPS-nya di bawah kategori SB, B, dan C.</w:t>
      </w:r>
    </w:p>
    <w:p w14:paraId="69369C5B" w14:textId="5C054AE2" w:rsidR="009B475A" w:rsidRPr="009B475A" w:rsidRDefault="009B475A" w:rsidP="00DC217B">
      <w:pPr>
        <w:spacing w:after="0" w:line="240" w:lineRule="auto"/>
        <w:ind w:firstLine="720"/>
        <w:jc w:val="both"/>
        <w:rPr>
          <w:rFonts w:ascii="Times New Roman" w:hAnsi="Times New Roman" w:cs="Times New Roman"/>
          <w:sz w:val="24"/>
          <w:szCs w:val="24"/>
        </w:rPr>
      </w:pPr>
      <w:r w:rsidRPr="009B475A">
        <w:rPr>
          <w:rFonts w:ascii="Times New Roman" w:hAnsi="Times New Roman" w:cs="Times New Roman"/>
          <w:sz w:val="24"/>
          <w:szCs w:val="24"/>
        </w:rPr>
        <w:t>Proporsi mahasiswa yang memiliki derajat penguasaan KPS dengan kategori kurang dan sangat kurang relatif besar. Proporsi totalnya lebih besar dibandingkan dengan proporsi yang memiliki kategori cukup (Gambar 2). Artinya implementasi PSU &amp; LA tidak efektif untuk mengembangkan KPS sebagian kecil mahasiswa. Kelompok mahasiswa ini membutuhkan waktu yang lebih banyak untuk belajar. Pembelajaran ini juga tidak sesuai dengan karakteristik mereka. Memperbaiki kelemahan merupahan hal yang sulit untuk dilakukan. Mahasiswa PGSD merupakan kelompok mahasiswa non-sains yang cenderung lemah pada sains, terutama KPS yang merupakan kompetensi fundamental untuk menguasai sains</w:t>
      </w:r>
      <w:r w:rsidR="00782AD7">
        <w:rPr>
          <w:rFonts w:ascii="Times New Roman" w:hAnsi="Times New Roman" w:cs="Times New Roman"/>
          <w:sz w:val="24"/>
          <w:szCs w:val="24"/>
          <w:lang w:val="en-US"/>
        </w:rPr>
        <w:t xml:space="preserve"> </w:t>
      </w:r>
      <w:r w:rsidR="00782AD7">
        <w:rPr>
          <w:rFonts w:ascii="Times New Roman" w:hAnsi="Times New Roman" w:cs="Times New Roman"/>
          <w:sz w:val="24"/>
          <w:szCs w:val="24"/>
          <w:lang w:val="en-US"/>
        </w:rPr>
        <w:fldChar w:fldCharType="begin" w:fldLock="1"/>
      </w:r>
      <w:r w:rsidR="00782AD7">
        <w:rPr>
          <w:rFonts w:ascii="Times New Roman" w:hAnsi="Times New Roman" w:cs="Times New Roman"/>
          <w:sz w:val="24"/>
          <w:szCs w:val="24"/>
          <w:lang w:val="en-US"/>
        </w:rPr>
        <w:instrText>ADDIN CSL_CITATION {"citationItems":[{"id":"ITEM-1","itemData":{"author":[{"dropping-particle":"","family":"Prayitno","given":"Baskoro Adi","non-dropping-particle":"","parse-names":false,"suffix":""},{"dropping-particle":"","family":"Corebima","given":"Duran","non-dropping-particle":"","parse-names":false,"suffix":""},{"dropping-particle":"","family":"Susilo","given":"Herawati","non-dropping-particle":"","parse-names":false,"suffix":""},{"dropping-particle":"","family":"Zubaidah","given":"Siti","non-dropping-particle":"","parse-names":false,"suffix":""},{"dropping-particle":"","family":"Ramli","given":"Murni","non-dropping-particle":"","parse-names":false,"suffix":""}],"container-title":"Journal of Baltic Science Education","id":"ITEM-1","issue":"2","issued":{"date-parts":[["2015"]]},"page":"266-277","title":"Closing the science process skills GAP between students with high and low level academic achievement","type":"article-journal","volume":"16"},"uris":["http://www.mendeley.com/documents/?uuid=0426d856-0308-4fb2-8ae0-e29253150e67"]}],"mendeley":{"formattedCitation":"(Prayitno et al., 2015)","plainTextFormattedCitation":"(Prayitno et al., 2015)","previouslyFormattedCitation":"(Prayitno et al., 2015)"},"properties":{"noteIndex":0},"schema":"https://github.com/citation-style-language/schema/raw/master/csl-citation.json"}</w:instrText>
      </w:r>
      <w:r w:rsidR="00782AD7">
        <w:rPr>
          <w:rFonts w:ascii="Times New Roman" w:hAnsi="Times New Roman" w:cs="Times New Roman"/>
          <w:sz w:val="24"/>
          <w:szCs w:val="24"/>
          <w:lang w:val="en-US"/>
        </w:rPr>
        <w:fldChar w:fldCharType="separate"/>
      </w:r>
      <w:r w:rsidR="00782AD7" w:rsidRPr="00782AD7">
        <w:rPr>
          <w:rFonts w:ascii="Times New Roman" w:hAnsi="Times New Roman" w:cs="Times New Roman"/>
          <w:noProof/>
          <w:sz w:val="24"/>
          <w:szCs w:val="24"/>
          <w:lang w:val="en-US"/>
        </w:rPr>
        <w:t>(Prayitno et al., 2015)</w:t>
      </w:r>
      <w:r w:rsidR="00782AD7">
        <w:rPr>
          <w:rFonts w:ascii="Times New Roman" w:hAnsi="Times New Roman" w:cs="Times New Roman"/>
          <w:sz w:val="24"/>
          <w:szCs w:val="24"/>
          <w:lang w:val="en-US"/>
        </w:rPr>
        <w:fldChar w:fldCharType="end"/>
      </w:r>
      <w:r w:rsidRPr="009B475A">
        <w:rPr>
          <w:rFonts w:ascii="Times New Roman" w:hAnsi="Times New Roman" w:cs="Times New Roman"/>
          <w:sz w:val="24"/>
          <w:szCs w:val="24"/>
        </w:rPr>
        <w:t xml:space="preserve">. Kompetensinya yang rekatif lebih rendah dibandingkan dengan mahasiswa sains secara umum terhadap produk sains juga dapat menjadi faktor penyebabnya. </w:t>
      </w:r>
      <w:r w:rsidRPr="009B475A">
        <w:rPr>
          <w:rFonts w:ascii="Times New Roman" w:hAnsi="Times New Roman" w:cs="Times New Roman"/>
          <w:sz w:val="24"/>
          <w:szCs w:val="24"/>
        </w:rPr>
        <w:lastRenderedPageBreak/>
        <w:t>Fenomena ini dapat disebut sebagai efek kemampuan akademik, di mana mahasiswa dengan kemampuan akademik tinggi dapat mengembangkan KPS dengan lebih baik dibandingkan dengan mahasiswa yang memiliki kemampuan akademik rendah</w:t>
      </w:r>
      <w:r w:rsidR="00782AD7">
        <w:rPr>
          <w:rFonts w:ascii="Times New Roman" w:hAnsi="Times New Roman" w:cs="Times New Roman"/>
          <w:sz w:val="24"/>
          <w:szCs w:val="24"/>
          <w:lang w:val="en-US"/>
        </w:rPr>
        <w:t xml:space="preserve"> </w:t>
      </w:r>
      <w:r w:rsidR="00782AD7">
        <w:rPr>
          <w:rFonts w:ascii="Times New Roman" w:hAnsi="Times New Roman" w:cs="Times New Roman"/>
          <w:sz w:val="24"/>
          <w:szCs w:val="24"/>
          <w:lang w:val="en-US"/>
        </w:rPr>
        <w:fldChar w:fldCharType="begin" w:fldLock="1"/>
      </w:r>
      <w:r w:rsidR="00782AD7">
        <w:rPr>
          <w:rFonts w:ascii="Times New Roman" w:hAnsi="Times New Roman" w:cs="Times New Roman"/>
          <w:sz w:val="24"/>
          <w:szCs w:val="24"/>
          <w:lang w:val="en-US"/>
        </w:rPr>
        <w:instrText>ADDIN CSL_CITATION {"citationItems":[{"id":"ITEM-1","itemData":{"author":[{"dropping-particle":"","family":"Amnah","given":"Sri","non-dropping-particle":"","parse-names":false,"suffix":""},{"dropping-particle":"","family":"Idris","given":"Tengku","non-dropping-particle":"","parse-names":false,"suffix":""}],"container-title":"Jurnal Pelita Pendidikan","id":"ITEM-1","issue":"1","issued":{"date-parts":[["2016"]]},"page":"137-144","title":"Hubungan indeks prestasi kumulatif dengan keterampilan proses sains mahasiswa Pendidikan Biologi FKIP UIR t.a 2013/2014","type":"article-journal","volume":"4"},"uris":["http://www.mendeley.com/documents/?uuid=926ef0f0-0cef-455c-bce0-8b6a539a413e"]}],"mendeley":{"formattedCitation":"(Amnah &amp; Idris, 2016)","plainTextFormattedCitation":"(Amnah &amp; Idris, 2016)","previouslyFormattedCitation":"(Amnah &amp; Idris, 2016)"},"properties":{"noteIndex":0},"schema":"https://github.com/citation-style-language/schema/raw/master/csl-citation.json"}</w:instrText>
      </w:r>
      <w:r w:rsidR="00782AD7">
        <w:rPr>
          <w:rFonts w:ascii="Times New Roman" w:hAnsi="Times New Roman" w:cs="Times New Roman"/>
          <w:sz w:val="24"/>
          <w:szCs w:val="24"/>
          <w:lang w:val="en-US"/>
        </w:rPr>
        <w:fldChar w:fldCharType="separate"/>
      </w:r>
      <w:r w:rsidR="00782AD7" w:rsidRPr="00782AD7">
        <w:rPr>
          <w:rFonts w:ascii="Times New Roman" w:hAnsi="Times New Roman" w:cs="Times New Roman"/>
          <w:noProof/>
          <w:sz w:val="24"/>
          <w:szCs w:val="24"/>
          <w:lang w:val="en-US"/>
        </w:rPr>
        <w:t>(Amnah &amp; Idris, 2016)</w:t>
      </w:r>
      <w:r w:rsidR="00782AD7">
        <w:rPr>
          <w:rFonts w:ascii="Times New Roman" w:hAnsi="Times New Roman" w:cs="Times New Roman"/>
          <w:sz w:val="24"/>
          <w:szCs w:val="24"/>
          <w:lang w:val="en-US"/>
        </w:rPr>
        <w:fldChar w:fldCharType="end"/>
      </w:r>
      <w:r w:rsidRPr="009B475A">
        <w:rPr>
          <w:rFonts w:ascii="Times New Roman" w:hAnsi="Times New Roman" w:cs="Times New Roman"/>
          <w:sz w:val="24"/>
          <w:szCs w:val="24"/>
        </w:rPr>
        <w:t>. Berdasarkan hasil kerja berupa LHP, LKM, dan laporan diketahui bahwa ada sebagian kecil mahasiswa yang belum bisa membedakan beberapa interaksi yang terjadi pada ekosistem, seperti protokooperasi dengan mutualisme.</w:t>
      </w:r>
    </w:p>
    <w:p w14:paraId="6F1948AA" w14:textId="77777777" w:rsidR="009B475A" w:rsidRPr="009B475A" w:rsidRDefault="009B475A" w:rsidP="00DC217B">
      <w:pPr>
        <w:spacing w:after="0" w:line="240" w:lineRule="auto"/>
        <w:ind w:firstLine="720"/>
        <w:jc w:val="both"/>
        <w:rPr>
          <w:rFonts w:ascii="Times New Roman" w:hAnsi="Times New Roman" w:cs="Times New Roman"/>
          <w:sz w:val="24"/>
          <w:szCs w:val="24"/>
        </w:rPr>
      </w:pPr>
      <w:r w:rsidRPr="009B475A">
        <w:rPr>
          <w:rFonts w:ascii="Times New Roman" w:hAnsi="Times New Roman" w:cs="Times New Roman"/>
          <w:sz w:val="24"/>
          <w:szCs w:val="24"/>
        </w:rPr>
        <w:t>Ditinjau dari masing-masing indikator, implementasi PSU &amp; LA terbukti lebih efektif dalam meningkatkan derajat penguasaan mahasiswa terhadap KPS. Hasil uji komparasi menunjukkan bahwa terdapat perbedaan derajat penguasaan yang signifikan (</w:t>
      </w:r>
      <w:r w:rsidRPr="00DC217B">
        <w:rPr>
          <w:rFonts w:ascii="Times New Roman" w:hAnsi="Times New Roman" w:cs="Times New Roman"/>
          <w:i/>
          <w:sz w:val="24"/>
          <w:szCs w:val="24"/>
        </w:rPr>
        <w:t>p = 0.021 &lt; 0.05</w:t>
      </w:r>
      <w:r w:rsidRPr="009B475A">
        <w:rPr>
          <w:rFonts w:ascii="Times New Roman" w:hAnsi="Times New Roman" w:cs="Times New Roman"/>
          <w:sz w:val="24"/>
          <w:szCs w:val="24"/>
        </w:rPr>
        <w:t>) antara PSU &amp; LA dibandingkan dengan PSU. Rata-rata derajat penguasaan mahasiswa melalui implementasi PSU &amp; LA lebih tinggi pada semua indikator kecuali keterampilan memprediksi (Gambar 3). Derajat penguasaan mahasiswa terhadap keterampilan memprediksi sebesar 44.29 dengan kategori sangat kurang. Berdasarkan data ini dapat diketahui bahwa keterampilan yang masih sulit bagi mahasiswa adalah keterampilan memprediksi. Pada implementasi  PSU &amp; LA, keterampilan memprediksi dilatih dengan membuat model rantai dan jaring-jaring makanan berdasarkan data komponen biotik hasil pengamatan. Sebelum membuat model tersebut, mahasiswa dibimbing mengisi LKM untuk menentukan peran tiap komponen biotik menjadi produsen, konsumen, dekomposer, atau detritivor. Berdasarkan model rantai dan jaring-jaring makanan yang buat, diketahui bahwa komponen-komponen biotik yang dihubungkan oleh tandah panah tidak sesuai dengan perannya. Hanya sedikit model rantai dan jaring-jaring makanan yang benar, dan di antara yang benar pun masih ada kekeliruan. Rendahnya keterampilan memprediksi diperkuat oleh hasil analisis proporsi.</w:t>
      </w:r>
    </w:p>
    <w:p w14:paraId="193ACFF8" w14:textId="38059A65" w:rsidR="00FE1717" w:rsidRPr="00F10246" w:rsidRDefault="009B475A" w:rsidP="00DC217B">
      <w:pPr>
        <w:spacing w:after="0" w:line="240" w:lineRule="auto"/>
        <w:ind w:firstLine="720"/>
        <w:jc w:val="both"/>
        <w:rPr>
          <w:rFonts w:ascii="Times New Roman" w:hAnsi="Times New Roman" w:cs="Times New Roman"/>
          <w:sz w:val="24"/>
          <w:szCs w:val="24"/>
          <w:lang w:val="en-US"/>
        </w:rPr>
      </w:pPr>
      <w:r w:rsidRPr="009B475A">
        <w:rPr>
          <w:rFonts w:ascii="Times New Roman" w:hAnsi="Times New Roman" w:cs="Times New Roman"/>
          <w:sz w:val="24"/>
          <w:szCs w:val="24"/>
        </w:rPr>
        <w:t>Proporsi mahasiswa dengan kategori sangat baik, baik dan cukup pada hampir semua indikator lebih besar pada PSU &amp; LA, sedangkan kategori kurang dan sangat kurang proporsinya lebih besar pada PSU (Gambar 4). Di antara indikator-indikator tersebut, keterampilan memprediksi memiliki proporsi dengan kategori SB lebih sedikit namun proporsi dengan kategori kurang lebih banyak dan proporsi dengan kategori sangat kurang paling besar dibandingkan dengan semua indikator yang lain. Adapun indikator mengobservasi memiliki proporsi mahasiswa dengan derajat penguasaan SB yang paling besar (82.86%). Berdasarkan data ini dapat diketahui bahwa keterampilan yang paling dikuasai oleh mahasiswa adalah mengobservasi. Pada proses pembelajaran, keterampilan ini dilatih melalui kegiatan observasi langsung terhadap komponen dan interaksi yang terdapat di ekosistem lingkungan sekitar yang dijadikan sebagai Laboratorium Alam. Hasil pengamatan yang didokumentasikan melalui foto dan video secara kesluruhan sudah benar, kecuali masih ada kekeliruan pada beberapa contoh. Hasil yang mereka tunjukkan pada LHP, LKM, dan laopran juga sudah bagus. Ini menjadi bukti bahwa keterampilan mahasiswa dalam mengobservasi berada pada kategori sangat bagus.</w:t>
      </w:r>
    </w:p>
    <w:p w14:paraId="47069660" w14:textId="77777777" w:rsidR="00040F6F" w:rsidRDefault="00040F6F" w:rsidP="00FE1717">
      <w:pPr>
        <w:spacing w:after="0" w:line="240" w:lineRule="auto"/>
        <w:jc w:val="both"/>
        <w:rPr>
          <w:rFonts w:ascii="Times New Roman" w:hAnsi="Times New Roman" w:cs="Times New Roman"/>
          <w:sz w:val="24"/>
          <w:szCs w:val="24"/>
          <w:lang w:val="en-US"/>
        </w:rPr>
      </w:pPr>
    </w:p>
    <w:p w14:paraId="4847F4D2" w14:textId="77777777" w:rsidR="00AC08B7" w:rsidRPr="00AC08B7" w:rsidRDefault="00AC08B7" w:rsidP="00FE1717">
      <w:pPr>
        <w:spacing w:after="0" w:line="240" w:lineRule="auto"/>
        <w:jc w:val="both"/>
        <w:rPr>
          <w:rFonts w:ascii="Times New Roman" w:hAnsi="Times New Roman" w:cs="Times New Roman"/>
          <w:sz w:val="24"/>
          <w:szCs w:val="24"/>
          <w:lang w:val="en-US"/>
        </w:rPr>
      </w:pPr>
    </w:p>
    <w:p w14:paraId="00491046" w14:textId="3A2100F9" w:rsidR="003B5759" w:rsidRPr="00C725DD" w:rsidRDefault="0044794B" w:rsidP="00017AD9">
      <w:pPr>
        <w:spacing w:after="0" w:line="240" w:lineRule="auto"/>
        <w:jc w:val="both"/>
        <w:rPr>
          <w:rFonts w:ascii="Times New Roman" w:eastAsia="Times New Roman" w:hAnsi="Times New Roman" w:cs="Times New Roman"/>
          <w:b/>
          <w:caps/>
          <w:color w:val="FF0000"/>
          <w:lang w:val="en-US"/>
        </w:rPr>
      </w:pPr>
      <w:r w:rsidRPr="00C725DD">
        <w:rPr>
          <w:rFonts w:ascii="Times New Roman" w:eastAsia="Times New Roman" w:hAnsi="Times New Roman" w:cs="Times New Roman"/>
          <w:b/>
          <w:caps/>
          <w:sz w:val="24"/>
          <w:lang w:val="en-US"/>
        </w:rPr>
        <w:t>Kesimpulan</w:t>
      </w:r>
    </w:p>
    <w:p w14:paraId="0E02033B" w14:textId="77777777" w:rsidR="003B5759" w:rsidRPr="00C725DD" w:rsidRDefault="003B5759" w:rsidP="003B5759">
      <w:pPr>
        <w:spacing w:after="0" w:line="240" w:lineRule="auto"/>
        <w:contextualSpacing/>
        <w:jc w:val="both"/>
        <w:rPr>
          <w:rFonts w:ascii="Times New Roman" w:eastAsia="Times New Roman" w:hAnsi="Times New Roman" w:cs="Times New Roman"/>
          <w:sz w:val="10"/>
        </w:rPr>
      </w:pPr>
    </w:p>
    <w:p w14:paraId="4013F2F6" w14:textId="0A4BCCD9" w:rsidR="0044794B" w:rsidRPr="00F10246" w:rsidRDefault="00DC217B" w:rsidP="00DC217B">
      <w:pPr>
        <w:spacing w:after="0" w:line="240" w:lineRule="auto"/>
        <w:ind w:firstLine="720"/>
        <w:jc w:val="both"/>
        <w:rPr>
          <w:rFonts w:ascii="Times New Roman" w:hAnsi="Times New Roman" w:cs="Times New Roman"/>
          <w:sz w:val="24"/>
          <w:szCs w:val="24"/>
          <w:lang w:val="en-US"/>
        </w:rPr>
      </w:pPr>
      <w:r w:rsidRPr="00DC217B">
        <w:rPr>
          <w:rFonts w:ascii="Times New Roman" w:hAnsi="Times New Roman" w:cs="Times New Roman"/>
          <w:sz w:val="24"/>
          <w:szCs w:val="24"/>
        </w:rPr>
        <w:t>Pembelajaran melalui implementasi SPADA Unram dan Laboratorium Alam secara signifikan dapat meningkatkan keterampilan proses sains mahasiswa. Secara rata-rata, derajat penguasaan mereka tergolong sudah baik. Implementasi pembelajaran ini dapat menjadi salah satu solusi, namun masih memmbutuhkan penyempurnaan karena proporsi mahasiswa yang memiliki derajat penguasaan yang rendah masih besar.</w:t>
      </w:r>
    </w:p>
    <w:p w14:paraId="16713859" w14:textId="77777777" w:rsidR="0044794B" w:rsidRDefault="0044794B" w:rsidP="00040F6F">
      <w:pPr>
        <w:spacing w:after="0" w:line="240" w:lineRule="auto"/>
        <w:jc w:val="both"/>
        <w:rPr>
          <w:rFonts w:ascii="Times New Roman" w:hAnsi="Times New Roman" w:cs="Times New Roman"/>
          <w:sz w:val="24"/>
          <w:szCs w:val="24"/>
          <w:lang w:val="en-US"/>
        </w:rPr>
      </w:pPr>
    </w:p>
    <w:p w14:paraId="0B87EDBD" w14:textId="77777777" w:rsidR="00AC08B7" w:rsidRDefault="00AC08B7" w:rsidP="00040F6F">
      <w:pPr>
        <w:spacing w:after="0" w:line="240" w:lineRule="auto"/>
        <w:jc w:val="both"/>
        <w:rPr>
          <w:rFonts w:ascii="Times New Roman" w:hAnsi="Times New Roman" w:cs="Times New Roman"/>
          <w:sz w:val="24"/>
          <w:szCs w:val="24"/>
          <w:lang w:val="en-US"/>
        </w:rPr>
      </w:pPr>
    </w:p>
    <w:p w14:paraId="78B83024" w14:textId="77777777" w:rsidR="00AC08B7" w:rsidRPr="00AC08B7" w:rsidRDefault="00AC08B7" w:rsidP="00040F6F">
      <w:pPr>
        <w:spacing w:after="0" w:line="240" w:lineRule="auto"/>
        <w:jc w:val="both"/>
        <w:rPr>
          <w:rFonts w:ascii="Times New Roman" w:hAnsi="Times New Roman" w:cs="Times New Roman"/>
          <w:sz w:val="24"/>
          <w:szCs w:val="24"/>
          <w:lang w:val="en-US"/>
        </w:rPr>
      </w:pPr>
      <w:bookmarkStart w:id="0" w:name="_GoBack"/>
      <w:bookmarkEnd w:id="0"/>
    </w:p>
    <w:p w14:paraId="15496B0F" w14:textId="67635C77" w:rsidR="003B5759" w:rsidRPr="00C725DD" w:rsidRDefault="00596C46" w:rsidP="003B5759">
      <w:pPr>
        <w:pStyle w:val="ListParagraph"/>
        <w:tabs>
          <w:tab w:val="left" w:pos="426"/>
        </w:tabs>
        <w:spacing w:after="0" w:line="240" w:lineRule="auto"/>
        <w:ind w:left="0"/>
        <w:jc w:val="both"/>
        <w:rPr>
          <w:rFonts w:ascii="Times New Roman" w:hAnsi="Times New Roman" w:cs="Times New Roman"/>
          <w:b/>
          <w:sz w:val="24"/>
          <w:lang w:val="en-US"/>
        </w:rPr>
      </w:pPr>
      <w:r w:rsidRPr="00C725DD">
        <w:rPr>
          <w:rFonts w:ascii="Times New Roman" w:hAnsi="Times New Roman" w:cs="Times New Roman"/>
          <w:b/>
          <w:sz w:val="24"/>
          <w:lang w:val="en-US"/>
        </w:rPr>
        <w:lastRenderedPageBreak/>
        <w:t>REFERENSI</w:t>
      </w:r>
    </w:p>
    <w:p w14:paraId="3C9CD2AD" w14:textId="77777777" w:rsidR="003B5759" w:rsidRPr="00C725DD"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14:paraId="604EDE3D" w14:textId="10DA27DA" w:rsidR="00782AD7" w:rsidRPr="00782AD7" w:rsidRDefault="00782AD7" w:rsidP="00782AD7">
      <w:pPr>
        <w:widowControl w:val="0"/>
        <w:autoSpaceDE w:val="0"/>
        <w:autoSpaceDN w:val="0"/>
        <w:adjustRightInd w:val="0"/>
        <w:spacing w:after="0" w:line="240" w:lineRule="auto"/>
        <w:ind w:left="480" w:hanging="480"/>
        <w:rPr>
          <w:rFonts w:ascii="Times New Roman" w:hAnsi="Times New Roman" w:cs="Times New Roman"/>
          <w:noProof/>
          <w:sz w:val="24"/>
          <w:szCs w:val="24"/>
        </w:rPr>
      </w:pPr>
      <w:r>
        <w:rPr>
          <w:rFonts w:ascii="Times New Roman" w:eastAsia="Times New Roman" w:hAnsi="Times New Roman" w:cs="Times New Roman"/>
          <w:color w:val="000000"/>
          <w:sz w:val="24"/>
          <w:szCs w:val="24"/>
          <w:lang w:val="en-US" w:eastAsia="en-US"/>
        </w:rPr>
        <w:fldChar w:fldCharType="begin" w:fldLock="1"/>
      </w:r>
      <w:r>
        <w:rPr>
          <w:rFonts w:ascii="Times New Roman" w:eastAsia="Times New Roman" w:hAnsi="Times New Roman" w:cs="Times New Roman"/>
          <w:color w:val="000000"/>
          <w:sz w:val="24"/>
          <w:szCs w:val="24"/>
          <w:lang w:val="en-US" w:eastAsia="en-US"/>
        </w:rPr>
        <w:instrText xml:space="preserve">ADDIN Mendeley Bibliography CSL_BIBLIOGRAPHY </w:instrText>
      </w:r>
      <w:r>
        <w:rPr>
          <w:rFonts w:ascii="Times New Roman" w:eastAsia="Times New Roman" w:hAnsi="Times New Roman" w:cs="Times New Roman"/>
          <w:color w:val="000000"/>
          <w:sz w:val="24"/>
          <w:szCs w:val="24"/>
          <w:lang w:val="en-US" w:eastAsia="en-US"/>
        </w:rPr>
        <w:fldChar w:fldCharType="separate"/>
      </w:r>
      <w:r w:rsidRPr="00782AD7">
        <w:rPr>
          <w:rFonts w:ascii="Times New Roman" w:hAnsi="Times New Roman" w:cs="Times New Roman"/>
          <w:noProof/>
          <w:sz w:val="24"/>
          <w:szCs w:val="24"/>
        </w:rPr>
        <w:t xml:space="preserve">Amnah, S., &amp; Idris, T. (2016). Hubungan indeks prestasi kumulatif dengan keterampilan proses sains mahasiswa Pendidikan Biologi FKIP UIR t.a 2013/2014. </w:t>
      </w:r>
      <w:r w:rsidRPr="00782AD7">
        <w:rPr>
          <w:rFonts w:ascii="Times New Roman" w:hAnsi="Times New Roman" w:cs="Times New Roman"/>
          <w:i/>
          <w:iCs/>
          <w:noProof/>
          <w:sz w:val="24"/>
          <w:szCs w:val="24"/>
        </w:rPr>
        <w:t>Jurnal Pelita Pendidikan</w:t>
      </w:r>
      <w:r w:rsidRPr="00782AD7">
        <w:rPr>
          <w:rFonts w:ascii="Times New Roman" w:hAnsi="Times New Roman" w:cs="Times New Roman"/>
          <w:noProof/>
          <w:sz w:val="24"/>
          <w:szCs w:val="24"/>
        </w:rPr>
        <w:t xml:space="preserve">, </w:t>
      </w:r>
      <w:r w:rsidRPr="00782AD7">
        <w:rPr>
          <w:rFonts w:ascii="Times New Roman" w:hAnsi="Times New Roman" w:cs="Times New Roman"/>
          <w:i/>
          <w:iCs/>
          <w:noProof/>
          <w:sz w:val="24"/>
          <w:szCs w:val="24"/>
        </w:rPr>
        <w:t>4</w:t>
      </w:r>
      <w:r w:rsidRPr="00782AD7">
        <w:rPr>
          <w:rFonts w:ascii="Times New Roman" w:hAnsi="Times New Roman" w:cs="Times New Roman"/>
          <w:noProof/>
          <w:sz w:val="24"/>
          <w:szCs w:val="24"/>
        </w:rPr>
        <w:t>(1), 137–144.</w:t>
      </w:r>
    </w:p>
    <w:p w14:paraId="4CB0ACB1" w14:textId="77777777" w:rsidR="00782AD7" w:rsidRPr="00782AD7" w:rsidRDefault="00782AD7" w:rsidP="00782AD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82AD7">
        <w:rPr>
          <w:rFonts w:ascii="Times New Roman" w:hAnsi="Times New Roman" w:cs="Times New Roman"/>
          <w:noProof/>
          <w:sz w:val="24"/>
          <w:szCs w:val="24"/>
        </w:rPr>
        <w:t xml:space="preserve">Can, B., Yildiz-Demirtas, V., &amp; Altun, E. (2017). The effect of project- based science education programme on scientific process skills and conceptions of Kindergarten students. </w:t>
      </w:r>
      <w:r w:rsidRPr="00782AD7">
        <w:rPr>
          <w:rFonts w:ascii="Times New Roman" w:hAnsi="Times New Roman" w:cs="Times New Roman"/>
          <w:i/>
          <w:iCs/>
          <w:noProof/>
          <w:sz w:val="24"/>
          <w:szCs w:val="24"/>
        </w:rPr>
        <w:t>Journal of Baltic Science Education</w:t>
      </w:r>
      <w:r w:rsidRPr="00782AD7">
        <w:rPr>
          <w:rFonts w:ascii="Times New Roman" w:hAnsi="Times New Roman" w:cs="Times New Roman"/>
          <w:noProof/>
          <w:sz w:val="24"/>
          <w:szCs w:val="24"/>
        </w:rPr>
        <w:t xml:space="preserve">, </w:t>
      </w:r>
      <w:r w:rsidRPr="00782AD7">
        <w:rPr>
          <w:rFonts w:ascii="Times New Roman" w:hAnsi="Times New Roman" w:cs="Times New Roman"/>
          <w:i/>
          <w:iCs/>
          <w:noProof/>
          <w:sz w:val="24"/>
          <w:szCs w:val="24"/>
        </w:rPr>
        <w:t>16</w:t>
      </w:r>
      <w:r w:rsidRPr="00782AD7">
        <w:rPr>
          <w:rFonts w:ascii="Times New Roman" w:hAnsi="Times New Roman" w:cs="Times New Roman"/>
          <w:noProof/>
          <w:sz w:val="24"/>
          <w:szCs w:val="24"/>
        </w:rPr>
        <w:t>(3), 395–413.</w:t>
      </w:r>
    </w:p>
    <w:p w14:paraId="30DDD6AC" w14:textId="77777777" w:rsidR="00782AD7" w:rsidRPr="00782AD7" w:rsidRDefault="00782AD7" w:rsidP="00782AD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82AD7">
        <w:rPr>
          <w:rFonts w:ascii="Times New Roman" w:hAnsi="Times New Roman" w:cs="Times New Roman"/>
          <w:noProof/>
          <w:sz w:val="24"/>
          <w:szCs w:val="24"/>
        </w:rPr>
        <w:t xml:space="preserve">Duda, H. J., Herawati Susilo, &amp; Newcombe, P. (2019). Enhancing different ethnicity science process skills: problem-based learning through practicum and authentic assessment. </w:t>
      </w:r>
      <w:r w:rsidRPr="00782AD7">
        <w:rPr>
          <w:rFonts w:ascii="Times New Roman" w:hAnsi="Times New Roman" w:cs="Times New Roman"/>
          <w:i/>
          <w:iCs/>
          <w:noProof/>
          <w:sz w:val="24"/>
          <w:szCs w:val="24"/>
        </w:rPr>
        <w:t>International Journal of Instruction</w:t>
      </w:r>
      <w:r w:rsidRPr="00782AD7">
        <w:rPr>
          <w:rFonts w:ascii="Times New Roman" w:hAnsi="Times New Roman" w:cs="Times New Roman"/>
          <w:noProof/>
          <w:sz w:val="24"/>
          <w:szCs w:val="24"/>
        </w:rPr>
        <w:t xml:space="preserve">, </w:t>
      </w:r>
      <w:r w:rsidRPr="00782AD7">
        <w:rPr>
          <w:rFonts w:ascii="Times New Roman" w:hAnsi="Times New Roman" w:cs="Times New Roman"/>
          <w:i/>
          <w:iCs/>
          <w:noProof/>
          <w:sz w:val="24"/>
          <w:szCs w:val="24"/>
        </w:rPr>
        <w:t>12</w:t>
      </w:r>
      <w:r w:rsidRPr="00782AD7">
        <w:rPr>
          <w:rFonts w:ascii="Times New Roman" w:hAnsi="Times New Roman" w:cs="Times New Roman"/>
          <w:noProof/>
          <w:sz w:val="24"/>
          <w:szCs w:val="24"/>
        </w:rPr>
        <w:t>(1), 1207–1222. https://doi.org/10.29333/iji.2019.12177a</w:t>
      </w:r>
    </w:p>
    <w:p w14:paraId="49814C31" w14:textId="77777777" w:rsidR="00782AD7" w:rsidRPr="00782AD7" w:rsidRDefault="00782AD7" w:rsidP="00782AD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82AD7">
        <w:rPr>
          <w:rFonts w:ascii="Times New Roman" w:hAnsi="Times New Roman" w:cs="Times New Roman"/>
          <w:noProof/>
          <w:sz w:val="24"/>
          <w:szCs w:val="24"/>
        </w:rPr>
        <w:t xml:space="preserve">Indrawati, B. (2020). Tantangan dan peluang Pendidikan Tinggi dalam masa pandemi Covid-19. </w:t>
      </w:r>
      <w:r w:rsidRPr="00782AD7">
        <w:rPr>
          <w:rFonts w:ascii="Times New Roman" w:hAnsi="Times New Roman" w:cs="Times New Roman"/>
          <w:i/>
          <w:iCs/>
          <w:noProof/>
          <w:sz w:val="24"/>
          <w:szCs w:val="24"/>
        </w:rPr>
        <w:t>Jurnal Kajian Ilmiah</w:t>
      </w:r>
      <w:r w:rsidRPr="00782AD7">
        <w:rPr>
          <w:rFonts w:ascii="Times New Roman" w:hAnsi="Times New Roman" w:cs="Times New Roman"/>
          <w:noProof/>
          <w:sz w:val="24"/>
          <w:szCs w:val="24"/>
        </w:rPr>
        <w:t xml:space="preserve">, </w:t>
      </w:r>
      <w:r w:rsidRPr="00782AD7">
        <w:rPr>
          <w:rFonts w:ascii="Times New Roman" w:hAnsi="Times New Roman" w:cs="Times New Roman"/>
          <w:i/>
          <w:iCs/>
          <w:noProof/>
          <w:sz w:val="24"/>
          <w:szCs w:val="24"/>
        </w:rPr>
        <w:t>1</w:t>
      </w:r>
      <w:r w:rsidRPr="00782AD7">
        <w:rPr>
          <w:rFonts w:ascii="Times New Roman" w:hAnsi="Times New Roman" w:cs="Times New Roman"/>
          <w:noProof/>
          <w:sz w:val="24"/>
          <w:szCs w:val="24"/>
        </w:rPr>
        <w:t>(1), 39–48.</w:t>
      </w:r>
    </w:p>
    <w:p w14:paraId="0054C720" w14:textId="77777777" w:rsidR="00782AD7" w:rsidRPr="00782AD7" w:rsidRDefault="00782AD7" w:rsidP="00782AD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82AD7">
        <w:rPr>
          <w:rFonts w:ascii="Times New Roman" w:hAnsi="Times New Roman" w:cs="Times New Roman"/>
          <w:noProof/>
          <w:sz w:val="24"/>
          <w:szCs w:val="24"/>
        </w:rPr>
        <w:t xml:space="preserve">Kelana, J. B., Muftianti, A., &amp; Samsudin, A. (2020). Pemanfaatan media pembelajaran dalam meningkatkan keterampilan proses sains dan motivasi belajar mahasiswa PGSD. </w:t>
      </w:r>
      <w:r w:rsidRPr="00782AD7">
        <w:rPr>
          <w:rFonts w:ascii="Times New Roman" w:hAnsi="Times New Roman" w:cs="Times New Roman"/>
          <w:i/>
          <w:iCs/>
          <w:noProof/>
          <w:sz w:val="24"/>
          <w:szCs w:val="24"/>
        </w:rPr>
        <w:t>Urnal Ilmiah P2M STKIP Siliwangi</w:t>
      </w:r>
      <w:r w:rsidRPr="00782AD7">
        <w:rPr>
          <w:rFonts w:ascii="Times New Roman" w:hAnsi="Times New Roman" w:cs="Times New Roman"/>
          <w:noProof/>
          <w:sz w:val="24"/>
          <w:szCs w:val="24"/>
        </w:rPr>
        <w:t xml:space="preserve">, </w:t>
      </w:r>
      <w:r w:rsidRPr="00782AD7">
        <w:rPr>
          <w:rFonts w:ascii="Times New Roman" w:hAnsi="Times New Roman" w:cs="Times New Roman"/>
          <w:i/>
          <w:iCs/>
          <w:noProof/>
          <w:sz w:val="24"/>
          <w:szCs w:val="24"/>
        </w:rPr>
        <w:t>7</w:t>
      </w:r>
      <w:r w:rsidRPr="00782AD7">
        <w:rPr>
          <w:rFonts w:ascii="Times New Roman" w:hAnsi="Times New Roman" w:cs="Times New Roman"/>
          <w:noProof/>
          <w:sz w:val="24"/>
          <w:szCs w:val="24"/>
        </w:rPr>
        <w:t>(1), 48–54.</w:t>
      </w:r>
    </w:p>
    <w:p w14:paraId="4F67C980" w14:textId="77777777" w:rsidR="00782AD7" w:rsidRPr="00782AD7" w:rsidRDefault="00782AD7" w:rsidP="00782AD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82AD7">
        <w:rPr>
          <w:rFonts w:ascii="Times New Roman" w:hAnsi="Times New Roman" w:cs="Times New Roman"/>
          <w:noProof/>
          <w:sz w:val="24"/>
          <w:szCs w:val="24"/>
        </w:rPr>
        <w:t xml:space="preserve">Limatahu, I., Wasis, Sutoyo, S., &amp; Prahani, B. K. (2018). Development of ccdsr teaching model to improve science process skills of pre-service physics teachers. </w:t>
      </w:r>
      <w:r w:rsidRPr="00782AD7">
        <w:rPr>
          <w:rFonts w:ascii="Times New Roman" w:hAnsi="Times New Roman" w:cs="Times New Roman"/>
          <w:i/>
          <w:iCs/>
          <w:noProof/>
          <w:sz w:val="24"/>
          <w:szCs w:val="24"/>
        </w:rPr>
        <w:t>Journal of Baltic Science Education</w:t>
      </w:r>
      <w:r w:rsidRPr="00782AD7">
        <w:rPr>
          <w:rFonts w:ascii="Times New Roman" w:hAnsi="Times New Roman" w:cs="Times New Roman"/>
          <w:noProof/>
          <w:sz w:val="24"/>
          <w:szCs w:val="24"/>
        </w:rPr>
        <w:t xml:space="preserve">, </w:t>
      </w:r>
      <w:r w:rsidRPr="00782AD7">
        <w:rPr>
          <w:rFonts w:ascii="Times New Roman" w:hAnsi="Times New Roman" w:cs="Times New Roman"/>
          <w:i/>
          <w:iCs/>
          <w:noProof/>
          <w:sz w:val="24"/>
          <w:szCs w:val="24"/>
        </w:rPr>
        <w:t>17</w:t>
      </w:r>
      <w:r w:rsidRPr="00782AD7">
        <w:rPr>
          <w:rFonts w:ascii="Times New Roman" w:hAnsi="Times New Roman" w:cs="Times New Roman"/>
          <w:noProof/>
          <w:sz w:val="24"/>
          <w:szCs w:val="24"/>
        </w:rPr>
        <w:t>(5), 812–827.</w:t>
      </w:r>
    </w:p>
    <w:p w14:paraId="5BAA1A27" w14:textId="77777777" w:rsidR="00782AD7" w:rsidRPr="00782AD7" w:rsidRDefault="00782AD7" w:rsidP="00782AD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82AD7">
        <w:rPr>
          <w:rFonts w:ascii="Times New Roman" w:hAnsi="Times New Roman" w:cs="Times New Roman"/>
          <w:noProof/>
          <w:sz w:val="24"/>
          <w:szCs w:val="24"/>
        </w:rPr>
        <w:t xml:space="preserve">Malau, S. M., Motlan, Sirait, M., &amp; Lubis, R. H. (2019). The effect of guided inquiry learning model and creativity on students science process skills. </w:t>
      </w:r>
      <w:r w:rsidRPr="00782AD7">
        <w:rPr>
          <w:rFonts w:ascii="Times New Roman" w:hAnsi="Times New Roman" w:cs="Times New Roman"/>
          <w:i/>
          <w:iCs/>
          <w:noProof/>
          <w:sz w:val="24"/>
          <w:szCs w:val="24"/>
        </w:rPr>
        <w:t>Journal of Transformative Education and Educational Leadership</w:t>
      </w:r>
      <w:r w:rsidRPr="00782AD7">
        <w:rPr>
          <w:rFonts w:ascii="Times New Roman" w:hAnsi="Times New Roman" w:cs="Times New Roman"/>
          <w:noProof/>
          <w:sz w:val="24"/>
          <w:szCs w:val="24"/>
        </w:rPr>
        <w:t xml:space="preserve">, </w:t>
      </w:r>
      <w:r w:rsidRPr="00782AD7">
        <w:rPr>
          <w:rFonts w:ascii="Times New Roman" w:hAnsi="Times New Roman" w:cs="Times New Roman"/>
          <w:i/>
          <w:iCs/>
          <w:noProof/>
          <w:sz w:val="24"/>
          <w:szCs w:val="24"/>
        </w:rPr>
        <w:t>1</w:t>
      </w:r>
      <w:r w:rsidRPr="00782AD7">
        <w:rPr>
          <w:rFonts w:ascii="Times New Roman" w:hAnsi="Times New Roman" w:cs="Times New Roman"/>
          <w:noProof/>
          <w:sz w:val="24"/>
          <w:szCs w:val="24"/>
        </w:rPr>
        <w:t>(2), 29–37.</w:t>
      </w:r>
    </w:p>
    <w:p w14:paraId="27BA2C8D" w14:textId="77777777" w:rsidR="00782AD7" w:rsidRPr="00782AD7" w:rsidRDefault="00782AD7" w:rsidP="00782AD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82AD7">
        <w:rPr>
          <w:rFonts w:ascii="Times New Roman" w:hAnsi="Times New Roman" w:cs="Times New Roman"/>
          <w:noProof/>
          <w:sz w:val="24"/>
          <w:szCs w:val="24"/>
        </w:rPr>
        <w:t xml:space="preserve">Malik, A. (2015). Model pembelajaran problem based instruction untuk meningkatkan penguasaan konsep dan keterampilan proses sains mahasiswa. </w:t>
      </w:r>
      <w:r w:rsidRPr="00782AD7">
        <w:rPr>
          <w:rFonts w:ascii="Times New Roman" w:hAnsi="Times New Roman" w:cs="Times New Roman"/>
          <w:i/>
          <w:iCs/>
          <w:noProof/>
          <w:sz w:val="24"/>
          <w:szCs w:val="24"/>
        </w:rPr>
        <w:t>JPPPF - Jurnal Penelitian &amp; Pengembangan Pendidikan Fisika</w:t>
      </w:r>
      <w:r w:rsidRPr="00782AD7">
        <w:rPr>
          <w:rFonts w:ascii="Times New Roman" w:hAnsi="Times New Roman" w:cs="Times New Roman"/>
          <w:noProof/>
          <w:sz w:val="24"/>
          <w:szCs w:val="24"/>
        </w:rPr>
        <w:t xml:space="preserve">, </w:t>
      </w:r>
      <w:r w:rsidRPr="00782AD7">
        <w:rPr>
          <w:rFonts w:ascii="Times New Roman" w:hAnsi="Times New Roman" w:cs="Times New Roman"/>
          <w:i/>
          <w:iCs/>
          <w:noProof/>
          <w:sz w:val="24"/>
          <w:szCs w:val="24"/>
        </w:rPr>
        <w:t>1</w:t>
      </w:r>
      <w:r w:rsidRPr="00782AD7">
        <w:rPr>
          <w:rFonts w:ascii="Times New Roman" w:hAnsi="Times New Roman" w:cs="Times New Roman"/>
          <w:noProof/>
          <w:sz w:val="24"/>
          <w:szCs w:val="24"/>
        </w:rPr>
        <w:t>(1), 9–16. https://doi.org/10.21009/1.01102</w:t>
      </w:r>
    </w:p>
    <w:p w14:paraId="2C4BE3A8" w14:textId="77777777" w:rsidR="00782AD7" w:rsidRPr="00782AD7" w:rsidRDefault="00782AD7" w:rsidP="00782AD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82AD7">
        <w:rPr>
          <w:rFonts w:ascii="Times New Roman" w:hAnsi="Times New Roman" w:cs="Times New Roman"/>
          <w:noProof/>
          <w:sz w:val="24"/>
          <w:szCs w:val="24"/>
        </w:rPr>
        <w:t xml:space="preserve">Malik, A., Handayani, W., &amp; Nuraini, R. (2015). Model praktikum problem solving laboratory untuk meningkatkan keterampilan proses sains mahasiswa. In A. H. A. Dwi Irwanto, Fiki Taufik Akbar (Ed.), </w:t>
      </w:r>
      <w:r w:rsidRPr="00782AD7">
        <w:rPr>
          <w:rFonts w:ascii="Times New Roman" w:hAnsi="Times New Roman" w:cs="Times New Roman"/>
          <w:i/>
          <w:iCs/>
          <w:noProof/>
          <w:sz w:val="24"/>
          <w:szCs w:val="24"/>
        </w:rPr>
        <w:t>Simposium Nasional Inovasi dan Pembelajaran Sains</w:t>
      </w:r>
      <w:r w:rsidRPr="00782AD7">
        <w:rPr>
          <w:rFonts w:ascii="Times New Roman" w:hAnsi="Times New Roman" w:cs="Times New Roman"/>
          <w:noProof/>
          <w:sz w:val="24"/>
          <w:szCs w:val="24"/>
        </w:rPr>
        <w:t xml:space="preserve"> (pp. 193–196). Program Studi Magister Pengajaran Fisika FMIPA ITB.</w:t>
      </w:r>
    </w:p>
    <w:p w14:paraId="766973FA" w14:textId="77777777" w:rsidR="00782AD7" w:rsidRPr="00782AD7" w:rsidRDefault="00782AD7" w:rsidP="00782AD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82AD7">
        <w:rPr>
          <w:rFonts w:ascii="Times New Roman" w:hAnsi="Times New Roman" w:cs="Times New Roman"/>
          <w:noProof/>
          <w:sz w:val="24"/>
          <w:szCs w:val="24"/>
        </w:rPr>
        <w:t xml:space="preserve">Nau, G. W., &amp; Djalo, A. (2019). The effect of practical-based jigsaw strategy on science process skills of students. </w:t>
      </w:r>
      <w:r w:rsidRPr="00782AD7">
        <w:rPr>
          <w:rFonts w:ascii="Times New Roman" w:hAnsi="Times New Roman" w:cs="Times New Roman"/>
          <w:i/>
          <w:iCs/>
          <w:noProof/>
          <w:sz w:val="24"/>
          <w:szCs w:val="24"/>
        </w:rPr>
        <w:t>Scientiae Educatia: Jurnal Pendidikan Sains</w:t>
      </w:r>
      <w:r w:rsidRPr="00782AD7">
        <w:rPr>
          <w:rFonts w:ascii="Times New Roman" w:hAnsi="Times New Roman" w:cs="Times New Roman"/>
          <w:noProof/>
          <w:sz w:val="24"/>
          <w:szCs w:val="24"/>
        </w:rPr>
        <w:t xml:space="preserve">, </w:t>
      </w:r>
      <w:r w:rsidRPr="00782AD7">
        <w:rPr>
          <w:rFonts w:ascii="Times New Roman" w:hAnsi="Times New Roman" w:cs="Times New Roman"/>
          <w:i/>
          <w:iCs/>
          <w:noProof/>
          <w:sz w:val="24"/>
          <w:szCs w:val="24"/>
        </w:rPr>
        <w:t>8</w:t>
      </w:r>
      <w:r w:rsidRPr="00782AD7">
        <w:rPr>
          <w:rFonts w:ascii="Times New Roman" w:hAnsi="Times New Roman" w:cs="Times New Roman"/>
          <w:noProof/>
          <w:sz w:val="24"/>
          <w:szCs w:val="24"/>
        </w:rPr>
        <w:t>(2), 196–206. https://doi.org/10.24235/sc.educatia.v8i2.5168</w:t>
      </w:r>
    </w:p>
    <w:p w14:paraId="469336C1" w14:textId="77777777" w:rsidR="00782AD7" w:rsidRPr="00782AD7" w:rsidRDefault="00782AD7" w:rsidP="00782AD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82AD7">
        <w:rPr>
          <w:rFonts w:ascii="Times New Roman" w:hAnsi="Times New Roman" w:cs="Times New Roman"/>
          <w:noProof/>
          <w:sz w:val="24"/>
          <w:szCs w:val="24"/>
        </w:rPr>
        <w:t xml:space="preserve">Nurussaniah, Trisianawati, E., &amp; Sari, I. N. (2017). Pembelajaran inkuiri untuk meningkatkan keterampilan proses sains calon guru fisika. </w:t>
      </w:r>
      <w:r w:rsidRPr="00782AD7">
        <w:rPr>
          <w:rFonts w:ascii="Times New Roman" w:hAnsi="Times New Roman" w:cs="Times New Roman"/>
          <w:i/>
          <w:iCs/>
          <w:noProof/>
          <w:sz w:val="24"/>
          <w:szCs w:val="24"/>
        </w:rPr>
        <w:t>Jurnal Ilmiah Pendidikan Fisika Al-BiRuNi</w:t>
      </w:r>
      <w:r w:rsidRPr="00782AD7">
        <w:rPr>
          <w:rFonts w:ascii="Times New Roman" w:hAnsi="Times New Roman" w:cs="Times New Roman"/>
          <w:noProof/>
          <w:sz w:val="24"/>
          <w:szCs w:val="24"/>
        </w:rPr>
        <w:t xml:space="preserve">, </w:t>
      </w:r>
      <w:r w:rsidRPr="00782AD7">
        <w:rPr>
          <w:rFonts w:ascii="Times New Roman" w:hAnsi="Times New Roman" w:cs="Times New Roman"/>
          <w:i/>
          <w:iCs/>
          <w:noProof/>
          <w:sz w:val="24"/>
          <w:szCs w:val="24"/>
        </w:rPr>
        <w:t>06</w:t>
      </w:r>
      <w:r w:rsidRPr="00782AD7">
        <w:rPr>
          <w:rFonts w:ascii="Times New Roman" w:hAnsi="Times New Roman" w:cs="Times New Roman"/>
          <w:noProof/>
          <w:sz w:val="24"/>
          <w:szCs w:val="24"/>
        </w:rPr>
        <w:t>(2), 233–240. https://doi.org/10.24042/jipfalbiruni.v6i2.1891</w:t>
      </w:r>
    </w:p>
    <w:p w14:paraId="18A86A66" w14:textId="77777777" w:rsidR="00782AD7" w:rsidRPr="00782AD7" w:rsidRDefault="00782AD7" w:rsidP="00782AD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82AD7">
        <w:rPr>
          <w:rFonts w:ascii="Times New Roman" w:hAnsi="Times New Roman" w:cs="Times New Roman"/>
          <w:noProof/>
          <w:sz w:val="24"/>
          <w:szCs w:val="24"/>
        </w:rPr>
        <w:t xml:space="preserve">Patresia, I., Silitonga, M., &amp; Ginting, A. (2020). Developing biology student s ’ worksheet based on STEAM to empower science process skills. </w:t>
      </w:r>
      <w:r w:rsidRPr="00782AD7">
        <w:rPr>
          <w:rFonts w:ascii="Times New Roman" w:hAnsi="Times New Roman" w:cs="Times New Roman"/>
          <w:i/>
          <w:iCs/>
          <w:noProof/>
          <w:sz w:val="24"/>
          <w:szCs w:val="24"/>
        </w:rPr>
        <w:t>JPBI (Jurnal Pendidikan Biologi Indonesia)</w:t>
      </w:r>
      <w:r w:rsidRPr="00782AD7">
        <w:rPr>
          <w:rFonts w:ascii="Times New Roman" w:hAnsi="Times New Roman" w:cs="Times New Roman"/>
          <w:noProof/>
          <w:sz w:val="24"/>
          <w:szCs w:val="24"/>
        </w:rPr>
        <w:t xml:space="preserve">, </w:t>
      </w:r>
      <w:r w:rsidRPr="00782AD7">
        <w:rPr>
          <w:rFonts w:ascii="Times New Roman" w:hAnsi="Times New Roman" w:cs="Times New Roman"/>
          <w:i/>
          <w:iCs/>
          <w:noProof/>
          <w:sz w:val="24"/>
          <w:szCs w:val="24"/>
        </w:rPr>
        <w:t>6</w:t>
      </w:r>
      <w:r w:rsidRPr="00782AD7">
        <w:rPr>
          <w:rFonts w:ascii="Times New Roman" w:hAnsi="Times New Roman" w:cs="Times New Roman"/>
          <w:noProof/>
          <w:sz w:val="24"/>
          <w:szCs w:val="24"/>
        </w:rPr>
        <w:t>(1), 147–156. https://doi.org/10.2229/jpbi.v6i1. 10225</w:t>
      </w:r>
    </w:p>
    <w:p w14:paraId="10068E32" w14:textId="77777777" w:rsidR="00782AD7" w:rsidRPr="00782AD7" w:rsidRDefault="00782AD7" w:rsidP="00782AD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82AD7">
        <w:rPr>
          <w:rFonts w:ascii="Times New Roman" w:hAnsi="Times New Roman" w:cs="Times New Roman"/>
          <w:noProof/>
          <w:sz w:val="24"/>
          <w:szCs w:val="24"/>
        </w:rPr>
        <w:t xml:space="preserve">Prajoko, S., Amin, M., Rohman, F., &amp; Gipayana, M. (2016). The effect of local materials usage for science practicum on students’ science process skills. </w:t>
      </w:r>
      <w:r w:rsidRPr="00782AD7">
        <w:rPr>
          <w:rFonts w:ascii="Times New Roman" w:hAnsi="Times New Roman" w:cs="Times New Roman"/>
          <w:i/>
          <w:iCs/>
          <w:noProof/>
          <w:sz w:val="24"/>
          <w:szCs w:val="24"/>
        </w:rPr>
        <w:t>Educational Research International</w:t>
      </w:r>
      <w:r w:rsidRPr="00782AD7">
        <w:rPr>
          <w:rFonts w:ascii="Times New Roman" w:hAnsi="Times New Roman" w:cs="Times New Roman"/>
          <w:noProof/>
          <w:sz w:val="24"/>
          <w:szCs w:val="24"/>
        </w:rPr>
        <w:t xml:space="preserve">, </w:t>
      </w:r>
      <w:r w:rsidRPr="00782AD7">
        <w:rPr>
          <w:rFonts w:ascii="Times New Roman" w:hAnsi="Times New Roman" w:cs="Times New Roman"/>
          <w:i/>
          <w:iCs/>
          <w:noProof/>
          <w:sz w:val="24"/>
          <w:szCs w:val="24"/>
        </w:rPr>
        <w:t>5</w:t>
      </w:r>
      <w:r w:rsidRPr="00782AD7">
        <w:rPr>
          <w:rFonts w:ascii="Times New Roman" w:hAnsi="Times New Roman" w:cs="Times New Roman"/>
          <w:noProof/>
          <w:sz w:val="24"/>
          <w:szCs w:val="24"/>
        </w:rPr>
        <w:t>(4), 1–10.</w:t>
      </w:r>
    </w:p>
    <w:p w14:paraId="6689BE0C" w14:textId="77777777" w:rsidR="00782AD7" w:rsidRPr="00782AD7" w:rsidRDefault="00782AD7" w:rsidP="00782AD7">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782AD7">
        <w:rPr>
          <w:rFonts w:ascii="Times New Roman" w:hAnsi="Times New Roman" w:cs="Times New Roman"/>
          <w:noProof/>
          <w:sz w:val="24"/>
          <w:szCs w:val="24"/>
        </w:rPr>
        <w:t xml:space="preserve">Prayitno, B. A., Corebima, D., Susilo, H., Zubaidah, S., &amp; Ramli, M. (2015). Closing the science process skills GAP between students with high and low level academic achievement. </w:t>
      </w:r>
      <w:r w:rsidRPr="00782AD7">
        <w:rPr>
          <w:rFonts w:ascii="Times New Roman" w:hAnsi="Times New Roman" w:cs="Times New Roman"/>
          <w:i/>
          <w:iCs/>
          <w:noProof/>
          <w:sz w:val="24"/>
          <w:szCs w:val="24"/>
        </w:rPr>
        <w:t>Journal of Baltic Science Education</w:t>
      </w:r>
      <w:r w:rsidRPr="00782AD7">
        <w:rPr>
          <w:rFonts w:ascii="Times New Roman" w:hAnsi="Times New Roman" w:cs="Times New Roman"/>
          <w:noProof/>
          <w:sz w:val="24"/>
          <w:szCs w:val="24"/>
        </w:rPr>
        <w:t xml:space="preserve">, </w:t>
      </w:r>
      <w:r w:rsidRPr="00782AD7">
        <w:rPr>
          <w:rFonts w:ascii="Times New Roman" w:hAnsi="Times New Roman" w:cs="Times New Roman"/>
          <w:i/>
          <w:iCs/>
          <w:noProof/>
          <w:sz w:val="24"/>
          <w:szCs w:val="24"/>
        </w:rPr>
        <w:t>16</w:t>
      </w:r>
      <w:r w:rsidRPr="00782AD7">
        <w:rPr>
          <w:rFonts w:ascii="Times New Roman" w:hAnsi="Times New Roman" w:cs="Times New Roman"/>
          <w:noProof/>
          <w:sz w:val="24"/>
          <w:szCs w:val="24"/>
        </w:rPr>
        <w:t>(2), 266–277.</w:t>
      </w:r>
    </w:p>
    <w:p w14:paraId="4D4CC0CE" w14:textId="77777777" w:rsidR="00782AD7" w:rsidRPr="00782AD7" w:rsidRDefault="00782AD7" w:rsidP="00782AD7">
      <w:pPr>
        <w:widowControl w:val="0"/>
        <w:autoSpaceDE w:val="0"/>
        <w:autoSpaceDN w:val="0"/>
        <w:adjustRightInd w:val="0"/>
        <w:spacing w:after="0" w:line="240" w:lineRule="auto"/>
        <w:ind w:left="480" w:hanging="480"/>
        <w:rPr>
          <w:rFonts w:ascii="Times New Roman" w:hAnsi="Times New Roman" w:cs="Times New Roman"/>
          <w:noProof/>
          <w:sz w:val="24"/>
        </w:rPr>
      </w:pPr>
      <w:r w:rsidRPr="00782AD7">
        <w:rPr>
          <w:rFonts w:ascii="Times New Roman" w:hAnsi="Times New Roman" w:cs="Times New Roman"/>
          <w:noProof/>
          <w:sz w:val="24"/>
          <w:szCs w:val="24"/>
        </w:rPr>
        <w:t xml:space="preserve">Rahmatih, A. N., &amp; Fauzi, A. (2020). Persepsi mahasiswa calon guru sekolah dasar dalam menanggapi perkuliahan secara daring selama masa Covid-19. </w:t>
      </w:r>
      <w:r w:rsidRPr="00782AD7">
        <w:rPr>
          <w:rFonts w:ascii="Times New Roman" w:hAnsi="Times New Roman" w:cs="Times New Roman"/>
          <w:i/>
          <w:iCs/>
          <w:noProof/>
          <w:sz w:val="24"/>
          <w:szCs w:val="24"/>
        </w:rPr>
        <w:t>MODELING: Jurnal Program Studi PGMI</w:t>
      </w:r>
      <w:r w:rsidRPr="00782AD7">
        <w:rPr>
          <w:rFonts w:ascii="Times New Roman" w:hAnsi="Times New Roman" w:cs="Times New Roman"/>
          <w:noProof/>
          <w:sz w:val="24"/>
          <w:szCs w:val="24"/>
        </w:rPr>
        <w:t xml:space="preserve">, </w:t>
      </w:r>
      <w:r w:rsidRPr="00782AD7">
        <w:rPr>
          <w:rFonts w:ascii="Times New Roman" w:hAnsi="Times New Roman" w:cs="Times New Roman"/>
          <w:i/>
          <w:iCs/>
          <w:noProof/>
          <w:sz w:val="24"/>
          <w:szCs w:val="24"/>
        </w:rPr>
        <w:t>7</w:t>
      </w:r>
      <w:r w:rsidRPr="00782AD7">
        <w:rPr>
          <w:rFonts w:ascii="Times New Roman" w:hAnsi="Times New Roman" w:cs="Times New Roman"/>
          <w:noProof/>
          <w:sz w:val="24"/>
          <w:szCs w:val="24"/>
        </w:rPr>
        <w:t>(2), 143–153.</w:t>
      </w:r>
    </w:p>
    <w:p w14:paraId="20273D92" w14:textId="521696A5" w:rsidR="00782AD7" w:rsidRDefault="00782AD7" w:rsidP="0044794B">
      <w:pPr>
        <w:spacing w:after="0" w:line="240" w:lineRule="auto"/>
        <w:jc w:val="both"/>
        <w:rPr>
          <w:rFonts w:ascii="Times New Roman" w:eastAsia="Times New Roman" w:hAnsi="Times New Roman" w:cs="Times New Roman"/>
          <w:color w:val="000000"/>
          <w:sz w:val="24"/>
          <w:szCs w:val="24"/>
          <w:lang w:val="en-US" w:eastAsia="en-US"/>
        </w:rPr>
      </w:pPr>
      <w:r>
        <w:rPr>
          <w:rFonts w:ascii="Times New Roman" w:eastAsia="Times New Roman" w:hAnsi="Times New Roman" w:cs="Times New Roman"/>
          <w:color w:val="000000"/>
          <w:sz w:val="24"/>
          <w:szCs w:val="24"/>
          <w:lang w:val="en-US" w:eastAsia="en-US"/>
        </w:rPr>
        <w:fldChar w:fldCharType="end"/>
      </w:r>
    </w:p>
    <w:sectPr w:rsidR="00782AD7" w:rsidSect="00E07760">
      <w:headerReference w:type="even" r:id="rId20"/>
      <w:headerReference w:type="default" r:id="rId21"/>
      <w:headerReference w:type="first" r:id="rId22"/>
      <w:footerReference w:type="first" r:id="rId23"/>
      <w:type w:val="continuous"/>
      <w:pgSz w:w="11907" w:h="16839" w:code="9"/>
      <w:pgMar w:top="1701" w:right="1440" w:bottom="1440" w:left="1440" w:header="851"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1E63E8" w14:textId="77777777" w:rsidR="00714A50" w:rsidRDefault="00714A50" w:rsidP="006A03BB">
      <w:pPr>
        <w:spacing w:after="0" w:line="240" w:lineRule="auto"/>
      </w:pPr>
      <w:r>
        <w:separator/>
      </w:r>
    </w:p>
  </w:endnote>
  <w:endnote w:type="continuationSeparator" w:id="0">
    <w:p w14:paraId="5557CADF" w14:textId="77777777" w:rsidR="00714A50" w:rsidRDefault="00714A50"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Adam">
    <w:altName w:val="Calibri"/>
    <w:panose1 w:val="00000000000000000000"/>
    <w:charset w:val="00"/>
    <w:family w:val="modern"/>
    <w:notTrueType/>
    <w:pitch w:val="variable"/>
    <w:sig w:usb0="00000027"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8181785"/>
      <w:docPartObj>
        <w:docPartGallery w:val="Page Numbers (Bottom of Page)"/>
        <w:docPartUnique/>
      </w:docPartObj>
    </w:sdtPr>
    <w:sdtEndPr/>
    <w:sdtContent>
      <w:p w14:paraId="02309466" w14:textId="77777777" w:rsidR="00437745" w:rsidRDefault="00437745" w:rsidP="00993585">
        <w:pPr>
          <w:pStyle w:val="Footer"/>
          <w:jc w:val="right"/>
        </w:pPr>
        <w:r>
          <w:rPr>
            <w:rFonts w:ascii="Times New Roman" w:hAnsi="Times New Roman" w:cs="Times New Roman"/>
            <w:b/>
            <w:sz w:val="12"/>
            <w:szCs w:val="12"/>
            <w:lang w:val="en-US"/>
          </w:rPr>
          <w:t>Title of Article</w:t>
        </w:r>
        <w:r>
          <w:t xml:space="preserve"> | </w:t>
        </w:r>
        <w:r w:rsidRPr="00381AA2">
          <w:rPr>
            <w:rFonts w:ascii="Times New Roman" w:hAnsi="Times New Roman" w:cs="Times New Roman"/>
            <w:sz w:val="24"/>
            <w:szCs w:val="24"/>
          </w:rPr>
          <w:fldChar w:fldCharType="begin"/>
        </w:r>
        <w:r w:rsidRPr="00381AA2">
          <w:rPr>
            <w:rFonts w:ascii="Times New Roman" w:hAnsi="Times New Roman" w:cs="Times New Roman"/>
            <w:sz w:val="24"/>
            <w:szCs w:val="24"/>
          </w:rPr>
          <w:instrText xml:space="preserve"> PAGE   \* MERGEFORMAT </w:instrText>
        </w:r>
        <w:r w:rsidRPr="00381AA2">
          <w:rPr>
            <w:rFonts w:ascii="Times New Roman" w:hAnsi="Times New Roman" w:cs="Times New Roman"/>
            <w:sz w:val="24"/>
            <w:szCs w:val="24"/>
          </w:rPr>
          <w:fldChar w:fldCharType="separate"/>
        </w:r>
        <w:r>
          <w:rPr>
            <w:rFonts w:ascii="Times New Roman" w:hAnsi="Times New Roman" w:cs="Times New Roman"/>
            <w:sz w:val="24"/>
            <w:szCs w:val="24"/>
          </w:rPr>
          <w:t>1</w:t>
        </w:r>
        <w:r w:rsidRPr="00381AA2">
          <w:rPr>
            <w:rFonts w:ascii="Times New Roman" w:hAnsi="Times New Roman" w:cs="Times New Roman"/>
            <w:noProof/>
            <w:sz w:val="24"/>
            <w:szCs w:val="24"/>
          </w:rPr>
          <w:fldChar w:fldCharType="end"/>
        </w:r>
        <w:r>
          <w:t xml:space="preserve"> </w:t>
        </w:r>
      </w:p>
    </w:sdtContent>
  </w:sdt>
  <w:p w14:paraId="1CB9B285" w14:textId="77777777" w:rsidR="00437745" w:rsidRDefault="004377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320BB" w14:textId="77777777" w:rsidR="00714A50" w:rsidRDefault="00714A50" w:rsidP="006A03BB">
      <w:pPr>
        <w:spacing w:after="0" w:line="240" w:lineRule="auto"/>
      </w:pPr>
      <w:r>
        <w:separator/>
      </w:r>
    </w:p>
  </w:footnote>
  <w:footnote w:type="continuationSeparator" w:id="0">
    <w:p w14:paraId="05394D9C" w14:textId="77777777" w:rsidR="00714A50" w:rsidRDefault="00714A50"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B4F2314" w14:textId="77777777" w:rsidR="006D6758" w:rsidRPr="006D5159" w:rsidRDefault="006D6758" w:rsidP="006D6758">
    <w:pPr>
      <w:pStyle w:val="Header"/>
      <w:tabs>
        <w:tab w:val="center" w:pos="4230"/>
      </w:tabs>
      <w:ind w:left="1974" w:firstLine="720"/>
      <w:rPr>
        <w:rFonts w:ascii="Cambria" w:hAnsi="Cambria"/>
        <w:sz w:val="20"/>
      </w:rPr>
    </w:pPr>
    <w:r>
      <w:rPr>
        <w:noProof/>
        <w:lang w:val="en-US" w:eastAsia="en-US"/>
      </w:rPr>
      <mc:AlternateContent>
        <mc:Choice Requires="wps">
          <w:drawing>
            <wp:anchor distT="0" distB="0" distL="114300" distR="114300" simplePos="0" relativeHeight="251667456" behindDoc="0" locked="0" layoutInCell="1" allowOverlap="1" wp14:anchorId="2D80B3A5" wp14:editId="3D788BDF">
              <wp:simplePos x="0" y="0"/>
              <wp:positionH relativeFrom="column">
                <wp:posOffset>4965065</wp:posOffset>
              </wp:positionH>
              <wp:positionV relativeFrom="paragraph">
                <wp:posOffset>-46990</wp:posOffset>
              </wp:positionV>
              <wp:extent cx="1446028" cy="444042"/>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31" type="#_x0000_t202" style="position:absolute;left:0;text-align:left;margin-left:390.95pt;margin-top:-3.7pt;width:113.85pt;height:34.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" filled="f" stroked="f">
              <v:path arrowok="t"/>
              <v:textbox>
                <w:txbxContent>
                  <w:p w14:paraId="245FD100" w14:textId="77777777" w:rsidR="006D6758" w:rsidRPr="000B7D94" w:rsidRDefault="006D6758" w:rsidP="006D6758">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0AE1B04A" w14:textId="77777777" w:rsidR="006D6758" w:rsidRPr="00C61787" w:rsidRDefault="006D6758" w:rsidP="006D6758">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Pr>
        <w:noProof/>
        <w:lang w:val="en-US" w:eastAsia="en-US"/>
      </w:rPr>
      <mc:AlternateContent>
        <mc:Choice Requires="wps">
          <w:drawing>
            <wp:anchor distT="0" distB="0" distL="114300" distR="114300" simplePos="0" relativeHeight="251666432" behindDoc="0" locked="0" layoutInCell="1" allowOverlap="1" wp14:anchorId="549AB610" wp14:editId="4E476BAA">
              <wp:simplePos x="0" y="0"/>
              <wp:positionH relativeFrom="column">
                <wp:posOffset>-273050</wp:posOffset>
              </wp:positionH>
              <wp:positionV relativeFrom="paragraph">
                <wp:posOffset>-113030</wp:posOffset>
              </wp:positionV>
              <wp:extent cx="1876425" cy="497205"/>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6425" cy="497205"/>
                      </a:xfrm>
                      <a:prstGeom prst="rect">
                        <a:avLst/>
                      </a:prstGeom>
                      <a:noFill/>
                      <a:ln>
                        <a:noFill/>
                      </a:ln>
                    </wps:spPr>
                    <wps:txb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left:0;text-align:left;margin-left:-21.5pt;margin-top:-8.9pt;width:147.75pt;height:39.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" filled="f" stroked="f">
              <v:path arrowok="t"/>
              <v:textbox>
                <w:txbxContent>
                  <w:p w14:paraId="7584E597" w14:textId="77777777" w:rsidR="006D6758" w:rsidRPr="00276475" w:rsidRDefault="006D6758" w:rsidP="006D6758">
                    <w:pPr>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r w:rsidRPr="00276475">
                      <w:rPr>
                        <w:rFonts w:ascii="Adam" w:hAnsi="Adam"/>
                        <w:b/>
                        <w:color w:val="E5B8B7" w:themeColor="accent2" w:themeTint="66"/>
                        <w:sz w:val="56"/>
                        <w:szCs w:val="72"/>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t>COLLASE</w:t>
                    </w:r>
                  </w:p>
                  <w:p w14:paraId="0668C8C5" w14:textId="77777777" w:rsidR="006D6758" w:rsidRPr="00276475" w:rsidRDefault="006D6758" w:rsidP="006D6758">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Pr>
        <w:rFonts w:ascii="Cambria" w:hAnsi="Cambria"/>
        <w:sz w:val="20"/>
      </w:rPr>
      <w:t xml:space="preserve">                                     </w:t>
    </w:r>
    <w:r>
      <w:rPr>
        <w:rFonts w:ascii="Cambria" w:hAnsi="Cambria"/>
        <w:sz w:val="20"/>
        <w:lang w:val="en-US"/>
      </w:rPr>
      <w:t xml:space="preserve">  </w:t>
    </w:r>
    <w:r w:rsidRPr="006D5159">
      <w:rPr>
        <w:rFonts w:ascii="Cambria" w:hAnsi="Cambria"/>
        <w:sz w:val="20"/>
      </w:rPr>
      <w:t>J</w:t>
    </w:r>
    <w:r>
      <w:rPr>
        <w:rFonts w:ascii="Cambria" w:hAnsi="Cambria"/>
        <w:sz w:val="20"/>
      </w:rPr>
      <w:t>ournal of Elementary Education</w:t>
    </w:r>
    <w:r w:rsidRPr="006D5159">
      <w:rPr>
        <w:rFonts w:ascii="Cambria" w:hAnsi="Cambria"/>
        <w:sz w:val="20"/>
      </w:rPr>
      <w:tab/>
    </w:r>
  </w:p>
  <w:p w14:paraId="06019ECB" w14:textId="7576769A" w:rsidR="006D6758" w:rsidRPr="006D5159" w:rsidRDefault="006D6758" w:rsidP="006D6758">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sidR="0044794B">
      <w:rPr>
        <w:rFonts w:ascii="Cambria" w:hAnsi="Cambria"/>
        <w:sz w:val="20"/>
        <w:lang w:val="en-US"/>
      </w:rPr>
      <w:t>Bulan</w:t>
    </w:r>
    <w:r>
      <w:rPr>
        <w:rFonts w:ascii="Cambria" w:hAnsi="Cambria"/>
        <w:sz w:val="20"/>
      </w:rPr>
      <w:t xml:space="preserve"> </w:t>
    </w:r>
    <w:r w:rsidR="0044794B">
      <w:rPr>
        <w:rFonts w:ascii="Cambria" w:hAnsi="Cambria"/>
        <w:sz w:val="20"/>
        <w:lang w:val="en-US"/>
      </w:rPr>
      <w:t>Tahun</w:t>
    </w:r>
    <w:r w:rsidRPr="006D5159">
      <w:rPr>
        <w:rFonts w:ascii="Cambria" w:hAnsi="Cambria"/>
        <w:sz w:val="20"/>
      </w:rPr>
      <w:tab/>
    </w:r>
  </w:p>
  <w:p w14:paraId="36F86DDD" w14:textId="24FA2928" w:rsidR="00437745" w:rsidRPr="006D6758" w:rsidRDefault="006D6758" w:rsidP="006D6758">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BE10FA" w14:textId="5C4951E7" w:rsidR="00437745" w:rsidRPr="006D5159" w:rsidRDefault="00840B3F" w:rsidP="00437745">
    <w:pPr>
      <w:pStyle w:val="Header"/>
      <w:tabs>
        <w:tab w:val="center" w:pos="4230"/>
      </w:tabs>
      <w:ind w:left="1974" w:firstLine="720"/>
      <w:rPr>
        <w:rFonts w:ascii="Cambria" w:hAnsi="Cambria"/>
        <w:sz w:val="20"/>
      </w:rPr>
    </w:pPr>
    <w:r>
      <w:rPr>
        <w:noProof/>
        <w:lang w:val="en-US" w:eastAsia="en-US"/>
      </w:rPr>
      <mc:AlternateContent>
        <mc:Choice Requires="wps">
          <w:drawing>
            <wp:anchor distT="0" distB="0" distL="114300" distR="114300" simplePos="0" relativeHeight="251663360" behindDoc="0" locked="0" layoutInCell="1" allowOverlap="1" wp14:anchorId="4B38799C" wp14:editId="637F8304">
              <wp:simplePos x="0" y="0"/>
              <wp:positionH relativeFrom="column">
                <wp:posOffset>-276224</wp:posOffset>
              </wp:positionH>
              <wp:positionV relativeFrom="paragraph">
                <wp:posOffset>-111760</wp:posOffset>
              </wp:positionV>
              <wp:extent cx="1485900" cy="49720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5900" cy="497205"/>
                      </a:xfrm>
                      <a:prstGeom prst="rect">
                        <a:avLst/>
                      </a:prstGeom>
                      <a:noFill/>
                      <a:ln>
                        <a:noFill/>
                      </a:ln>
                      <a:effectLst>
                        <a:innerShdw blurRad="63500" dist="50800" dir="10800000">
                          <a:prstClr val="black">
                            <a:alpha val="50000"/>
                          </a:prstClr>
                        </a:innerShdw>
                      </a:effectLst>
                    </wps:spPr>
                    <wps:txbx>
                      <w:txbxContent>
                        <w:p w14:paraId="1B6360C4" w14:textId="77777777" w:rsidR="00437745" w:rsidRPr="00840B3F" w:rsidRDefault="00437745" w:rsidP="00437745">
                          <w:pPr>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0B3F">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14:paraId="4E83F467" w14:textId="77777777" w:rsidR="00437745" w:rsidRPr="00276475" w:rsidRDefault="00437745"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left:0;text-align:left;margin-left:-21.75pt;margin-top:-8.8pt;width:117pt;height:39.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" filled="f" stroked="f">
              <v:path arrowok="t"/>
              <v:textbox>
                <w:txbxContent>
                  <w:p w14:paraId="1B6360C4" w14:textId="77777777" w:rsidR="00437745" w:rsidRPr="00840B3F" w:rsidRDefault="00437745" w:rsidP="00437745">
                    <w:pPr>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40B3F">
                      <w:rPr>
                        <w:rFonts w:asciiTheme="majorHAnsi" w:hAnsiTheme="majorHAnsi"/>
                        <w:color w:val="CC0000"/>
                        <w:sz w:val="48"/>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COLLASE</w:t>
                    </w:r>
                  </w:p>
                  <w:p w14:paraId="4E83F467" w14:textId="77777777" w:rsidR="00437745" w:rsidRPr="00276475" w:rsidRDefault="00437745" w:rsidP="00437745">
                    <w:pPr>
                      <w:rPr>
                        <w:b/>
                        <w:color w:val="E5B8B7" w:themeColor="accent2" w:themeTint="66"/>
                        <w14:shadow w14:blurRad="12700" w14:dist="25400" w14:dir="7800000" w14:sx="101000" w14:sy="101000" w14:kx="0" w14:ky="0" w14:algn="ctr">
                          <w14:srgbClr w14:val="C00000">
                            <w14:alpha w14:val="57000"/>
                          </w14:srgbClr>
                        </w14:shadow>
                        <w14:textOutline w14:w="11112" w14:cap="flat" w14:cmpd="sng" w14:algn="ctr">
                          <w14:solidFill>
                            <w14:schemeClr w14:val="accent2"/>
                          </w14:solidFill>
                          <w14:prstDash w14:val="solid"/>
                          <w14:round/>
                        </w14:textOutline>
                      </w:rPr>
                    </w:pPr>
                  </w:p>
                </w:txbxContent>
              </v:textbox>
            </v:shape>
          </w:pict>
        </mc:Fallback>
      </mc:AlternateContent>
    </w:r>
    <w:r w:rsidR="00437745">
      <w:rPr>
        <w:noProof/>
        <w:lang w:val="en-US" w:eastAsia="en-US"/>
      </w:rPr>
      <mc:AlternateContent>
        <mc:Choice Requires="wps">
          <w:drawing>
            <wp:anchor distT="0" distB="0" distL="114300" distR="114300" simplePos="0" relativeHeight="251664384" behindDoc="0" locked="0" layoutInCell="1" allowOverlap="1" wp14:anchorId="572C1E88" wp14:editId="43639B73">
              <wp:simplePos x="0" y="0"/>
              <wp:positionH relativeFrom="column">
                <wp:posOffset>4965065</wp:posOffset>
              </wp:positionH>
              <wp:positionV relativeFrom="paragraph">
                <wp:posOffset>-46990</wp:posOffset>
              </wp:positionV>
              <wp:extent cx="1446028" cy="444042"/>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6028" cy="444042"/>
                      </a:xfrm>
                      <a:prstGeom prst="rect">
                        <a:avLst/>
                      </a:prstGeom>
                      <a:noFill/>
                      <a:ln>
                        <a:noFill/>
                      </a:ln>
                    </wps:spPr>
                    <wps:txbx>
                      <w:txbxContent>
                        <w:p w14:paraId="2C3151D9"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o:spid="_x0000_s1034" type="#_x0000_t202" style="position:absolute;left:0;text-align:left;margin-left:390.95pt;margin-top:-3.7pt;width:113.85pt;height:34.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" filled="f" stroked="f">
              <v:path arrowok="t"/>
              <v:textbox>
                <w:txbxContent>
                  <w:p w14:paraId="2C3151D9" w14:textId="77777777" w:rsidR="00437745" w:rsidRPr="000B7D94" w:rsidRDefault="00437745" w:rsidP="00437745">
                    <w:pPr>
                      <w:spacing w:after="0" w:line="240" w:lineRule="auto"/>
                      <w:rPr>
                        <w:rFonts w:ascii="Cambria" w:hAnsi="Cambria"/>
                        <w:sz w:val="20"/>
                        <w:szCs w:val="20"/>
                      </w:rPr>
                    </w:pPr>
                    <w:r w:rsidRPr="000B7D94">
                      <w:rPr>
                        <w:rFonts w:ascii="Cambria" w:hAnsi="Cambria"/>
                        <w:sz w:val="20"/>
                        <w:szCs w:val="20"/>
                      </w:rPr>
                      <w:t>E-ISSN:</w:t>
                    </w:r>
                    <w:r w:rsidRPr="000B7D94">
                      <w:rPr>
                        <w:rFonts w:ascii="Cambria" w:hAnsi="Cambria"/>
                        <w:color w:val="000000"/>
                        <w:sz w:val="20"/>
                        <w:szCs w:val="20"/>
                        <w:shd w:val="clear" w:color="auto" w:fill="FFFFFF"/>
                      </w:rPr>
                      <w:t xml:space="preserve"> 2614-4093</w:t>
                    </w:r>
                  </w:p>
                  <w:p w14:paraId="7B1DC680" w14:textId="77777777" w:rsidR="00437745" w:rsidRPr="00C61787" w:rsidRDefault="00437745" w:rsidP="00437745">
                    <w:pPr>
                      <w:spacing w:after="0" w:line="240" w:lineRule="auto"/>
                    </w:pPr>
                    <w:r w:rsidRPr="006D5159">
                      <w:rPr>
                        <w:rFonts w:ascii="Cambria" w:hAnsi="Cambria"/>
                        <w:sz w:val="20"/>
                      </w:rPr>
                      <w:t>P-ISSN</w:t>
                    </w:r>
                    <w:r w:rsidRPr="000B7D94">
                      <w:rPr>
                        <w:rFonts w:ascii="Cambria" w:hAnsi="Cambria"/>
                        <w:sz w:val="20"/>
                        <w:szCs w:val="20"/>
                      </w:rPr>
                      <w:t>:</w:t>
                    </w:r>
                    <w:r w:rsidRPr="000B7D94">
                      <w:rPr>
                        <w:rFonts w:ascii="Cambria" w:hAnsi="Cambria"/>
                        <w:color w:val="000000"/>
                        <w:sz w:val="20"/>
                        <w:szCs w:val="20"/>
                        <w:shd w:val="clear" w:color="auto" w:fill="FFFFFF"/>
                      </w:rPr>
                      <w:t xml:space="preserve"> 2614-4085 </w:t>
                    </w:r>
                    <w:r w:rsidRPr="000B7D94">
                      <w:rPr>
                        <w:rFonts w:ascii="Cambria" w:hAnsi="Cambria"/>
                        <w:sz w:val="20"/>
                        <w:szCs w:val="20"/>
                      </w:rPr>
                      <w:tab/>
                    </w:r>
                  </w:p>
                </w:txbxContent>
              </v:textbox>
            </v:shape>
          </w:pict>
        </mc:Fallback>
      </mc:AlternateContent>
    </w:r>
    <w:r w:rsidR="00437745">
      <w:rPr>
        <w:rFonts w:ascii="Cambria" w:hAnsi="Cambria"/>
        <w:sz w:val="20"/>
      </w:rPr>
      <w:t xml:space="preserve">                                     </w:t>
    </w:r>
    <w:r w:rsidR="00437745">
      <w:rPr>
        <w:rFonts w:ascii="Cambria" w:hAnsi="Cambria"/>
        <w:sz w:val="20"/>
        <w:lang w:val="en-US"/>
      </w:rPr>
      <w:t xml:space="preserve">  </w:t>
    </w:r>
    <w:r w:rsidR="00437745" w:rsidRPr="006D5159">
      <w:rPr>
        <w:rFonts w:ascii="Cambria" w:hAnsi="Cambria"/>
        <w:sz w:val="20"/>
      </w:rPr>
      <w:t>J</w:t>
    </w:r>
    <w:r w:rsidR="00437745">
      <w:rPr>
        <w:rFonts w:ascii="Cambria" w:hAnsi="Cambria"/>
        <w:sz w:val="20"/>
      </w:rPr>
      <w:t>ournal of Elementary Education</w:t>
    </w:r>
    <w:r w:rsidR="00437745" w:rsidRPr="006D5159">
      <w:rPr>
        <w:rFonts w:ascii="Cambria" w:hAnsi="Cambria"/>
        <w:sz w:val="20"/>
      </w:rPr>
      <w:tab/>
    </w:r>
  </w:p>
  <w:p w14:paraId="6D9E1DA9" w14:textId="4C59CC81" w:rsidR="00437745" w:rsidRPr="006D5159" w:rsidRDefault="00437745" w:rsidP="00437745">
    <w:pPr>
      <w:pStyle w:val="Header"/>
      <w:tabs>
        <w:tab w:val="center" w:pos="4230"/>
      </w:tabs>
      <w:ind w:left="2694"/>
      <w:rPr>
        <w:rFonts w:ascii="Cambria" w:hAnsi="Cambria"/>
        <w:sz w:val="20"/>
      </w:rPr>
    </w:pPr>
    <w:r>
      <w:rPr>
        <w:rFonts w:ascii="Cambria" w:hAnsi="Cambria"/>
        <w:sz w:val="20"/>
      </w:rPr>
      <w:t xml:space="preserve">                                     </w:t>
    </w:r>
    <w:r>
      <w:rPr>
        <w:rFonts w:ascii="Cambria" w:hAnsi="Cambria"/>
        <w:sz w:val="20"/>
        <w:lang w:val="en-US"/>
      </w:rPr>
      <w:t xml:space="preserve">  </w:t>
    </w:r>
    <w:r>
      <w:rPr>
        <w:rFonts w:ascii="Cambria" w:hAnsi="Cambria"/>
        <w:sz w:val="20"/>
      </w:rPr>
      <w:t xml:space="preserve">Volume </w:t>
    </w:r>
    <w:r>
      <w:rPr>
        <w:rFonts w:ascii="Cambria" w:hAnsi="Cambria"/>
        <w:sz w:val="20"/>
        <w:lang w:val="en-US"/>
      </w:rPr>
      <w:t>XXX</w:t>
    </w:r>
    <w:r>
      <w:rPr>
        <w:rFonts w:ascii="Cambria" w:hAnsi="Cambria"/>
        <w:sz w:val="20"/>
      </w:rPr>
      <w:t xml:space="preserve"> Number </w:t>
    </w:r>
    <w:r>
      <w:rPr>
        <w:rFonts w:ascii="Cambria" w:hAnsi="Cambria"/>
        <w:sz w:val="20"/>
        <w:lang w:val="en-US"/>
      </w:rPr>
      <w:t>XXX</w:t>
    </w:r>
    <w:r>
      <w:rPr>
        <w:rFonts w:ascii="Cambria" w:hAnsi="Cambria"/>
        <w:sz w:val="20"/>
      </w:rPr>
      <w:t xml:space="preserve">, </w:t>
    </w:r>
    <w:r w:rsidR="001A734E">
      <w:rPr>
        <w:rFonts w:ascii="Cambria" w:hAnsi="Cambria"/>
        <w:sz w:val="20"/>
        <w:lang w:val="en-ID"/>
      </w:rPr>
      <w:t>Bulan</w:t>
    </w:r>
    <w:r w:rsidR="00840B3F">
      <w:rPr>
        <w:rFonts w:ascii="Cambria" w:hAnsi="Cambria"/>
        <w:sz w:val="20"/>
        <w:lang w:val="en-ID"/>
      </w:rPr>
      <w:t>,</w:t>
    </w:r>
    <w:r w:rsidR="001A734E">
      <w:rPr>
        <w:rFonts w:ascii="Cambria" w:hAnsi="Cambria"/>
        <w:sz w:val="20"/>
        <w:lang w:val="en-ID"/>
      </w:rPr>
      <w:t>Tahun</w:t>
    </w:r>
    <w:r w:rsidRPr="006D5159">
      <w:rPr>
        <w:rFonts w:ascii="Cambria" w:hAnsi="Cambria"/>
        <w:sz w:val="20"/>
      </w:rPr>
      <w:tab/>
    </w:r>
  </w:p>
  <w:p w14:paraId="2F77C8B1" w14:textId="43727F1B" w:rsidR="00437745" w:rsidRPr="00437745" w:rsidRDefault="00437745" w:rsidP="00437745">
    <w:pPr>
      <w:pStyle w:val="Heading2"/>
      <w:shd w:val="clear" w:color="auto" w:fill="FBFBF3"/>
      <w:spacing w:after="120"/>
      <w:ind w:left="-284" w:right="240"/>
      <w:jc w:val="left"/>
      <w:rPr>
        <w:rFonts w:ascii="Cambria" w:hAnsi="Cambria"/>
        <w:b w:val="0"/>
        <w:color w:val="111111"/>
        <w:lang w:val="id-ID"/>
      </w:rPr>
    </w:pPr>
    <w:r w:rsidRPr="000B7D94">
      <w:rPr>
        <w:rFonts w:ascii="Cambria" w:hAnsi="Cambria"/>
        <w:b w:val="0"/>
        <w:color w:val="111111"/>
        <w:sz w:val="20"/>
      </w:rPr>
      <w:t>Creative of Learning Students Elementary Education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7E7B15" w14:textId="77777777" w:rsidR="00437745" w:rsidRPr="00993585" w:rsidRDefault="00437745" w:rsidP="00993585">
    <w:pPr>
      <w:pStyle w:val="Header"/>
    </w:pPr>
    <w:r>
      <w:rPr>
        <w:noProof/>
        <w:lang w:val="en-US" w:eastAsia="en-US"/>
      </w:rPr>
      <w:drawing>
        <wp:anchor distT="0" distB="0" distL="114300" distR="114300" simplePos="0" relativeHeight="251659264" behindDoc="0" locked="0" layoutInCell="1" allowOverlap="1" wp14:anchorId="11C5DC39" wp14:editId="6E9E2D2D">
          <wp:simplePos x="0" y="0"/>
          <wp:positionH relativeFrom="column">
            <wp:posOffset>-552202</wp:posOffset>
          </wp:positionH>
          <wp:positionV relativeFrom="paragraph">
            <wp:posOffset>-302821</wp:posOffset>
          </wp:positionV>
          <wp:extent cx="6838950" cy="751916"/>
          <wp:effectExtent l="0" t="0" r="0" b="0"/>
          <wp:wrapNone/>
          <wp:docPr id="1" name="Picture 1" descr="E:\Dida\PGSD\Jurnal Uplod\Head PGSD Odd (righ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ida\PGSD\Jurnal Uplod\Head PGSD Odd (right).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838950" cy="75191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3">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4">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9">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5">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5"/>
  </w:num>
  <w:num w:numId="3">
    <w:abstractNumId w:val="12"/>
  </w:num>
  <w:num w:numId="4">
    <w:abstractNumId w:val="15"/>
  </w:num>
  <w:num w:numId="5">
    <w:abstractNumId w:val="6"/>
  </w:num>
  <w:num w:numId="6">
    <w:abstractNumId w:val="18"/>
  </w:num>
  <w:num w:numId="7">
    <w:abstractNumId w:val="2"/>
  </w:num>
  <w:num w:numId="8">
    <w:abstractNumId w:val="19"/>
  </w:num>
  <w:num w:numId="9">
    <w:abstractNumId w:val="9"/>
  </w:num>
  <w:num w:numId="10">
    <w:abstractNumId w:val="16"/>
  </w:num>
  <w:num w:numId="11">
    <w:abstractNumId w:val="20"/>
  </w:num>
  <w:num w:numId="12">
    <w:abstractNumId w:val="21"/>
  </w:num>
  <w:num w:numId="13">
    <w:abstractNumId w:val="23"/>
  </w:num>
  <w:num w:numId="14">
    <w:abstractNumId w:val="4"/>
  </w:num>
  <w:num w:numId="15">
    <w:abstractNumId w:val="7"/>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TaxNLE0NDc1MjIxNTVU0lEKTi0uzszPAykwrAUAgiCXLSwAAAA="/>
  </w:docVars>
  <w:rsids>
    <w:rsidRoot w:val="006A03BB"/>
    <w:rsid w:val="000026CE"/>
    <w:rsid w:val="00007D76"/>
    <w:rsid w:val="00017AD9"/>
    <w:rsid w:val="00035B5F"/>
    <w:rsid w:val="00040F6F"/>
    <w:rsid w:val="000532A9"/>
    <w:rsid w:val="0006145D"/>
    <w:rsid w:val="0006238A"/>
    <w:rsid w:val="00067DD4"/>
    <w:rsid w:val="00070B0F"/>
    <w:rsid w:val="00075C11"/>
    <w:rsid w:val="00076B32"/>
    <w:rsid w:val="00077244"/>
    <w:rsid w:val="00080231"/>
    <w:rsid w:val="00086BE3"/>
    <w:rsid w:val="000915CE"/>
    <w:rsid w:val="000B1117"/>
    <w:rsid w:val="000B1A9C"/>
    <w:rsid w:val="000B79A5"/>
    <w:rsid w:val="000D6AC8"/>
    <w:rsid w:val="000E17A4"/>
    <w:rsid w:val="000E2907"/>
    <w:rsid w:val="000E2DD8"/>
    <w:rsid w:val="000F26F3"/>
    <w:rsid w:val="000F6F20"/>
    <w:rsid w:val="0010144A"/>
    <w:rsid w:val="00102B74"/>
    <w:rsid w:val="00106F02"/>
    <w:rsid w:val="00106F11"/>
    <w:rsid w:val="001124AF"/>
    <w:rsid w:val="00112B28"/>
    <w:rsid w:val="00113FDF"/>
    <w:rsid w:val="00134C1A"/>
    <w:rsid w:val="00140E7A"/>
    <w:rsid w:val="00141FE7"/>
    <w:rsid w:val="001450F0"/>
    <w:rsid w:val="00150E46"/>
    <w:rsid w:val="00154164"/>
    <w:rsid w:val="00154B06"/>
    <w:rsid w:val="00156026"/>
    <w:rsid w:val="00157844"/>
    <w:rsid w:val="001650F7"/>
    <w:rsid w:val="00170507"/>
    <w:rsid w:val="00184344"/>
    <w:rsid w:val="0019036C"/>
    <w:rsid w:val="00190C90"/>
    <w:rsid w:val="00195A1C"/>
    <w:rsid w:val="001979CD"/>
    <w:rsid w:val="001A363E"/>
    <w:rsid w:val="001A734E"/>
    <w:rsid w:val="001B040E"/>
    <w:rsid w:val="001B0654"/>
    <w:rsid w:val="001C7149"/>
    <w:rsid w:val="001C7963"/>
    <w:rsid w:val="001D4CB9"/>
    <w:rsid w:val="001D6AA5"/>
    <w:rsid w:val="001E1174"/>
    <w:rsid w:val="001E5762"/>
    <w:rsid w:val="001F0AE4"/>
    <w:rsid w:val="001F1895"/>
    <w:rsid w:val="001F74D1"/>
    <w:rsid w:val="00202157"/>
    <w:rsid w:val="0020288F"/>
    <w:rsid w:val="0020313F"/>
    <w:rsid w:val="0020494D"/>
    <w:rsid w:val="0021233C"/>
    <w:rsid w:val="002152BE"/>
    <w:rsid w:val="00221796"/>
    <w:rsid w:val="0023157C"/>
    <w:rsid w:val="00232ECE"/>
    <w:rsid w:val="00232F36"/>
    <w:rsid w:val="00237438"/>
    <w:rsid w:val="00242043"/>
    <w:rsid w:val="00244518"/>
    <w:rsid w:val="00245AF1"/>
    <w:rsid w:val="00252B96"/>
    <w:rsid w:val="00253127"/>
    <w:rsid w:val="002564C8"/>
    <w:rsid w:val="0025708C"/>
    <w:rsid w:val="00260A35"/>
    <w:rsid w:val="00262007"/>
    <w:rsid w:val="00265E92"/>
    <w:rsid w:val="00271AF4"/>
    <w:rsid w:val="00273E53"/>
    <w:rsid w:val="002857CE"/>
    <w:rsid w:val="002857EF"/>
    <w:rsid w:val="00290B40"/>
    <w:rsid w:val="002A7A74"/>
    <w:rsid w:val="002B7111"/>
    <w:rsid w:val="002C1B03"/>
    <w:rsid w:val="002C4053"/>
    <w:rsid w:val="002C6423"/>
    <w:rsid w:val="002C7E56"/>
    <w:rsid w:val="002D52D8"/>
    <w:rsid w:val="002D7277"/>
    <w:rsid w:val="002D7BD8"/>
    <w:rsid w:val="002E2F58"/>
    <w:rsid w:val="002F0943"/>
    <w:rsid w:val="002F0A19"/>
    <w:rsid w:val="002F0DAB"/>
    <w:rsid w:val="002F6323"/>
    <w:rsid w:val="002F7ECE"/>
    <w:rsid w:val="0030787D"/>
    <w:rsid w:val="00312AB5"/>
    <w:rsid w:val="003131B9"/>
    <w:rsid w:val="003146C3"/>
    <w:rsid w:val="003161D9"/>
    <w:rsid w:val="00321584"/>
    <w:rsid w:val="003312D2"/>
    <w:rsid w:val="0033174E"/>
    <w:rsid w:val="003355C7"/>
    <w:rsid w:val="00340BE0"/>
    <w:rsid w:val="00343BC4"/>
    <w:rsid w:val="0035546B"/>
    <w:rsid w:val="0035600F"/>
    <w:rsid w:val="00357677"/>
    <w:rsid w:val="00362639"/>
    <w:rsid w:val="003640C3"/>
    <w:rsid w:val="0037549E"/>
    <w:rsid w:val="00386B7E"/>
    <w:rsid w:val="003876FF"/>
    <w:rsid w:val="003879DA"/>
    <w:rsid w:val="0039567C"/>
    <w:rsid w:val="00395735"/>
    <w:rsid w:val="003A3FB5"/>
    <w:rsid w:val="003B08C1"/>
    <w:rsid w:val="003B5759"/>
    <w:rsid w:val="003B739D"/>
    <w:rsid w:val="003C3D2C"/>
    <w:rsid w:val="003D097C"/>
    <w:rsid w:val="003D2CCF"/>
    <w:rsid w:val="003E562B"/>
    <w:rsid w:val="003F5612"/>
    <w:rsid w:val="003F65C5"/>
    <w:rsid w:val="003F7E16"/>
    <w:rsid w:val="00404264"/>
    <w:rsid w:val="0042013B"/>
    <w:rsid w:val="00425791"/>
    <w:rsid w:val="00432ED9"/>
    <w:rsid w:val="00434DBA"/>
    <w:rsid w:val="004374DA"/>
    <w:rsid w:val="00437745"/>
    <w:rsid w:val="0044112A"/>
    <w:rsid w:val="004441DD"/>
    <w:rsid w:val="004458B8"/>
    <w:rsid w:val="0044794B"/>
    <w:rsid w:val="00451E8A"/>
    <w:rsid w:val="0046366A"/>
    <w:rsid w:val="00492AAF"/>
    <w:rsid w:val="00492CDB"/>
    <w:rsid w:val="004A07A9"/>
    <w:rsid w:val="004A153F"/>
    <w:rsid w:val="004A5514"/>
    <w:rsid w:val="004B3149"/>
    <w:rsid w:val="004B34F0"/>
    <w:rsid w:val="004B4972"/>
    <w:rsid w:val="004B70CB"/>
    <w:rsid w:val="004C46CF"/>
    <w:rsid w:val="004D4337"/>
    <w:rsid w:val="004D6ED8"/>
    <w:rsid w:val="004E1FA3"/>
    <w:rsid w:val="005040B9"/>
    <w:rsid w:val="00510AA8"/>
    <w:rsid w:val="00513AAA"/>
    <w:rsid w:val="00535293"/>
    <w:rsid w:val="00540338"/>
    <w:rsid w:val="005433E2"/>
    <w:rsid w:val="00555A2B"/>
    <w:rsid w:val="00564290"/>
    <w:rsid w:val="00571D9D"/>
    <w:rsid w:val="00581285"/>
    <w:rsid w:val="00584C73"/>
    <w:rsid w:val="00585AFC"/>
    <w:rsid w:val="00590F4E"/>
    <w:rsid w:val="005954DD"/>
    <w:rsid w:val="00596C46"/>
    <w:rsid w:val="005A01E6"/>
    <w:rsid w:val="005A05CF"/>
    <w:rsid w:val="005A0731"/>
    <w:rsid w:val="005A266C"/>
    <w:rsid w:val="005A3492"/>
    <w:rsid w:val="005A4EF0"/>
    <w:rsid w:val="005A524F"/>
    <w:rsid w:val="005B4EEE"/>
    <w:rsid w:val="005B539C"/>
    <w:rsid w:val="005C3B54"/>
    <w:rsid w:val="005C3DCF"/>
    <w:rsid w:val="005D33F8"/>
    <w:rsid w:val="005E1E87"/>
    <w:rsid w:val="005E295E"/>
    <w:rsid w:val="00614BE0"/>
    <w:rsid w:val="00631867"/>
    <w:rsid w:val="006318D1"/>
    <w:rsid w:val="006326D0"/>
    <w:rsid w:val="00633B9B"/>
    <w:rsid w:val="00641E65"/>
    <w:rsid w:val="00647871"/>
    <w:rsid w:val="0065331E"/>
    <w:rsid w:val="006533A7"/>
    <w:rsid w:val="00653468"/>
    <w:rsid w:val="0065780D"/>
    <w:rsid w:val="006632C0"/>
    <w:rsid w:val="00671C61"/>
    <w:rsid w:val="006904A5"/>
    <w:rsid w:val="006A03BB"/>
    <w:rsid w:val="006B4977"/>
    <w:rsid w:val="006C4325"/>
    <w:rsid w:val="006D1E6F"/>
    <w:rsid w:val="006D2565"/>
    <w:rsid w:val="006D6758"/>
    <w:rsid w:val="006E3B23"/>
    <w:rsid w:val="006E73B7"/>
    <w:rsid w:val="006F7069"/>
    <w:rsid w:val="00700D23"/>
    <w:rsid w:val="0070435C"/>
    <w:rsid w:val="00704444"/>
    <w:rsid w:val="00711050"/>
    <w:rsid w:val="00712CE4"/>
    <w:rsid w:val="00714A50"/>
    <w:rsid w:val="00723CB8"/>
    <w:rsid w:val="007268BB"/>
    <w:rsid w:val="0073395F"/>
    <w:rsid w:val="00742467"/>
    <w:rsid w:val="007452F5"/>
    <w:rsid w:val="007465B9"/>
    <w:rsid w:val="00757916"/>
    <w:rsid w:val="00772922"/>
    <w:rsid w:val="007754E1"/>
    <w:rsid w:val="00775E70"/>
    <w:rsid w:val="00782AD7"/>
    <w:rsid w:val="00790958"/>
    <w:rsid w:val="00791C69"/>
    <w:rsid w:val="007A18E0"/>
    <w:rsid w:val="007A5BB3"/>
    <w:rsid w:val="007A696E"/>
    <w:rsid w:val="007B0EFD"/>
    <w:rsid w:val="007B77A9"/>
    <w:rsid w:val="007C016F"/>
    <w:rsid w:val="007C119C"/>
    <w:rsid w:val="007C6F74"/>
    <w:rsid w:val="007D69FD"/>
    <w:rsid w:val="007E4460"/>
    <w:rsid w:val="007F16FB"/>
    <w:rsid w:val="007F4A44"/>
    <w:rsid w:val="008114C0"/>
    <w:rsid w:val="00813139"/>
    <w:rsid w:val="00814D46"/>
    <w:rsid w:val="00817095"/>
    <w:rsid w:val="00817B20"/>
    <w:rsid w:val="00821794"/>
    <w:rsid w:val="008223D7"/>
    <w:rsid w:val="00833DCA"/>
    <w:rsid w:val="00837446"/>
    <w:rsid w:val="008403D7"/>
    <w:rsid w:val="00840B3F"/>
    <w:rsid w:val="00852145"/>
    <w:rsid w:val="00852599"/>
    <w:rsid w:val="00854BBD"/>
    <w:rsid w:val="00854F4E"/>
    <w:rsid w:val="008600D6"/>
    <w:rsid w:val="008759BB"/>
    <w:rsid w:val="00880653"/>
    <w:rsid w:val="0089069F"/>
    <w:rsid w:val="00892B56"/>
    <w:rsid w:val="00897BE2"/>
    <w:rsid w:val="008B5AB2"/>
    <w:rsid w:val="008B7931"/>
    <w:rsid w:val="008D1648"/>
    <w:rsid w:val="008D1D9F"/>
    <w:rsid w:val="008D3491"/>
    <w:rsid w:val="008E1ECB"/>
    <w:rsid w:val="008E4B4F"/>
    <w:rsid w:val="008F0615"/>
    <w:rsid w:val="008F567C"/>
    <w:rsid w:val="008F5B98"/>
    <w:rsid w:val="009134F4"/>
    <w:rsid w:val="009146A1"/>
    <w:rsid w:val="0092059B"/>
    <w:rsid w:val="00924058"/>
    <w:rsid w:val="00927605"/>
    <w:rsid w:val="0093371C"/>
    <w:rsid w:val="009357C3"/>
    <w:rsid w:val="0095480F"/>
    <w:rsid w:val="009554E2"/>
    <w:rsid w:val="0096027C"/>
    <w:rsid w:val="00962557"/>
    <w:rsid w:val="00967AB7"/>
    <w:rsid w:val="00971185"/>
    <w:rsid w:val="009826C0"/>
    <w:rsid w:val="00982E2E"/>
    <w:rsid w:val="00983AD8"/>
    <w:rsid w:val="009846F2"/>
    <w:rsid w:val="00984E2B"/>
    <w:rsid w:val="009865B4"/>
    <w:rsid w:val="00990133"/>
    <w:rsid w:val="00993585"/>
    <w:rsid w:val="009961A5"/>
    <w:rsid w:val="009A0AC0"/>
    <w:rsid w:val="009B42B3"/>
    <w:rsid w:val="009B475A"/>
    <w:rsid w:val="009B523A"/>
    <w:rsid w:val="009C210C"/>
    <w:rsid w:val="009C4CAA"/>
    <w:rsid w:val="009C5597"/>
    <w:rsid w:val="009C59DD"/>
    <w:rsid w:val="009D568F"/>
    <w:rsid w:val="009D5707"/>
    <w:rsid w:val="009D7CE8"/>
    <w:rsid w:val="009E60AA"/>
    <w:rsid w:val="009F0190"/>
    <w:rsid w:val="009F29AB"/>
    <w:rsid w:val="00A01D5A"/>
    <w:rsid w:val="00A02877"/>
    <w:rsid w:val="00A02CC6"/>
    <w:rsid w:val="00A21FE7"/>
    <w:rsid w:val="00A31806"/>
    <w:rsid w:val="00A370EF"/>
    <w:rsid w:val="00A371A9"/>
    <w:rsid w:val="00A42EDF"/>
    <w:rsid w:val="00A4355B"/>
    <w:rsid w:val="00A445B3"/>
    <w:rsid w:val="00A5338F"/>
    <w:rsid w:val="00A576D6"/>
    <w:rsid w:val="00A57D81"/>
    <w:rsid w:val="00A628BF"/>
    <w:rsid w:val="00A637CD"/>
    <w:rsid w:val="00A675CF"/>
    <w:rsid w:val="00A701E1"/>
    <w:rsid w:val="00A71C12"/>
    <w:rsid w:val="00A744BC"/>
    <w:rsid w:val="00A75E86"/>
    <w:rsid w:val="00A84CDD"/>
    <w:rsid w:val="00A90480"/>
    <w:rsid w:val="00A95CE9"/>
    <w:rsid w:val="00A97568"/>
    <w:rsid w:val="00AA02B1"/>
    <w:rsid w:val="00AA519A"/>
    <w:rsid w:val="00AB48A8"/>
    <w:rsid w:val="00AC08B7"/>
    <w:rsid w:val="00AC5565"/>
    <w:rsid w:val="00AD44FA"/>
    <w:rsid w:val="00AD72D1"/>
    <w:rsid w:val="00AE19C0"/>
    <w:rsid w:val="00AE5F21"/>
    <w:rsid w:val="00AF0F4D"/>
    <w:rsid w:val="00AF7A0D"/>
    <w:rsid w:val="00B027D6"/>
    <w:rsid w:val="00B042CD"/>
    <w:rsid w:val="00B05C91"/>
    <w:rsid w:val="00B1189F"/>
    <w:rsid w:val="00B1268E"/>
    <w:rsid w:val="00B14A56"/>
    <w:rsid w:val="00B16650"/>
    <w:rsid w:val="00B25A67"/>
    <w:rsid w:val="00B25F8B"/>
    <w:rsid w:val="00B329A5"/>
    <w:rsid w:val="00B32D1D"/>
    <w:rsid w:val="00B429A1"/>
    <w:rsid w:val="00B433CB"/>
    <w:rsid w:val="00B51270"/>
    <w:rsid w:val="00B52B5E"/>
    <w:rsid w:val="00B53356"/>
    <w:rsid w:val="00B573CC"/>
    <w:rsid w:val="00B67340"/>
    <w:rsid w:val="00BA10D7"/>
    <w:rsid w:val="00BA2516"/>
    <w:rsid w:val="00BB4EC7"/>
    <w:rsid w:val="00BC23B7"/>
    <w:rsid w:val="00BC29B5"/>
    <w:rsid w:val="00BC7E7D"/>
    <w:rsid w:val="00BD161C"/>
    <w:rsid w:val="00BD5BAB"/>
    <w:rsid w:val="00BE0D9D"/>
    <w:rsid w:val="00BE3A35"/>
    <w:rsid w:val="00BE6116"/>
    <w:rsid w:val="00BE6F49"/>
    <w:rsid w:val="00BF383A"/>
    <w:rsid w:val="00BF63E0"/>
    <w:rsid w:val="00C002A3"/>
    <w:rsid w:val="00C01446"/>
    <w:rsid w:val="00C035DF"/>
    <w:rsid w:val="00C177F9"/>
    <w:rsid w:val="00C2690E"/>
    <w:rsid w:val="00C3328D"/>
    <w:rsid w:val="00C35081"/>
    <w:rsid w:val="00C40E22"/>
    <w:rsid w:val="00C467DF"/>
    <w:rsid w:val="00C51094"/>
    <w:rsid w:val="00C57CE3"/>
    <w:rsid w:val="00C60F70"/>
    <w:rsid w:val="00C70D29"/>
    <w:rsid w:val="00C71F34"/>
    <w:rsid w:val="00C725DD"/>
    <w:rsid w:val="00C809F3"/>
    <w:rsid w:val="00C869F9"/>
    <w:rsid w:val="00C91894"/>
    <w:rsid w:val="00CA52AE"/>
    <w:rsid w:val="00CB0E80"/>
    <w:rsid w:val="00CC16A1"/>
    <w:rsid w:val="00CC5281"/>
    <w:rsid w:val="00CC6A20"/>
    <w:rsid w:val="00CD0068"/>
    <w:rsid w:val="00CD4B0F"/>
    <w:rsid w:val="00CD6250"/>
    <w:rsid w:val="00CE0EE8"/>
    <w:rsid w:val="00CE144E"/>
    <w:rsid w:val="00CE4AE9"/>
    <w:rsid w:val="00CF040D"/>
    <w:rsid w:val="00D05967"/>
    <w:rsid w:val="00D05DCB"/>
    <w:rsid w:val="00D14516"/>
    <w:rsid w:val="00D3336E"/>
    <w:rsid w:val="00D34ADD"/>
    <w:rsid w:val="00D36FD2"/>
    <w:rsid w:val="00D6112D"/>
    <w:rsid w:val="00D62AF1"/>
    <w:rsid w:val="00D649D1"/>
    <w:rsid w:val="00D75A14"/>
    <w:rsid w:val="00D862FB"/>
    <w:rsid w:val="00D90A1B"/>
    <w:rsid w:val="00D93F4C"/>
    <w:rsid w:val="00DA070A"/>
    <w:rsid w:val="00DA45AB"/>
    <w:rsid w:val="00DA7512"/>
    <w:rsid w:val="00DB42BC"/>
    <w:rsid w:val="00DB5035"/>
    <w:rsid w:val="00DC0A0E"/>
    <w:rsid w:val="00DC217B"/>
    <w:rsid w:val="00DD2D69"/>
    <w:rsid w:val="00DD7AF9"/>
    <w:rsid w:val="00DE472F"/>
    <w:rsid w:val="00DF05BF"/>
    <w:rsid w:val="00DF15B9"/>
    <w:rsid w:val="00DF4D41"/>
    <w:rsid w:val="00DF51F2"/>
    <w:rsid w:val="00DF5A6D"/>
    <w:rsid w:val="00DF6668"/>
    <w:rsid w:val="00E04052"/>
    <w:rsid w:val="00E07760"/>
    <w:rsid w:val="00E13179"/>
    <w:rsid w:val="00E134F1"/>
    <w:rsid w:val="00E37CA6"/>
    <w:rsid w:val="00E37F88"/>
    <w:rsid w:val="00E46A6F"/>
    <w:rsid w:val="00E541AD"/>
    <w:rsid w:val="00E54328"/>
    <w:rsid w:val="00E67FF7"/>
    <w:rsid w:val="00E7068D"/>
    <w:rsid w:val="00E73BAE"/>
    <w:rsid w:val="00E7476D"/>
    <w:rsid w:val="00E74AEF"/>
    <w:rsid w:val="00E74F14"/>
    <w:rsid w:val="00E94141"/>
    <w:rsid w:val="00E94AFA"/>
    <w:rsid w:val="00EA0BD7"/>
    <w:rsid w:val="00EA73FA"/>
    <w:rsid w:val="00EB01B4"/>
    <w:rsid w:val="00EB3187"/>
    <w:rsid w:val="00EC2711"/>
    <w:rsid w:val="00EC2C6C"/>
    <w:rsid w:val="00ED3801"/>
    <w:rsid w:val="00ED3C3E"/>
    <w:rsid w:val="00ED5F31"/>
    <w:rsid w:val="00EE23CF"/>
    <w:rsid w:val="00EE56B1"/>
    <w:rsid w:val="00EE7C4A"/>
    <w:rsid w:val="00EE7F49"/>
    <w:rsid w:val="00EF5029"/>
    <w:rsid w:val="00F021D5"/>
    <w:rsid w:val="00F02F90"/>
    <w:rsid w:val="00F0305D"/>
    <w:rsid w:val="00F10246"/>
    <w:rsid w:val="00F13308"/>
    <w:rsid w:val="00F141D6"/>
    <w:rsid w:val="00F14EDD"/>
    <w:rsid w:val="00F20927"/>
    <w:rsid w:val="00F224FD"/>
    <w:rsid w:val="00F23A66"/>
    <w:rsid w:val="00F2496F"/>
    <w:rsid w:val="00F27191"/>
    <w:rsid w:val="00F31EC2"/>
    <w:rsid w:val="00F352A7"/>
    <w:rsid w:val="00F37DD3"/>
    <w:rsid w:val="00F5017F"/>
    <w:rsid w:val="00F54079"/>
    <w:rsid w:val="00F56FA2"/>
    <w:rsid w:val="00F620A0"/>
    <w:rsid w:val="00F631E0"/>
    <w:rsid w:val="00F704E0"/>
    <w:rsid w:val="00F725C4"/>
    <w:rsid w:val="00F776F2"/>
    <w:rsid w:val="00F87EA7"/>
    <w:rsid w:val="00F92D91"/>
    <w:rsid w:val="00F96361"/>
    <w:rsid w:val="00FB5079"/>
    <w:rsid w:val="00FC55F0"/>
    <w:rsid w:val="00FC592E"/>
    <w:rsid w:val="00FC5F1D"/>
    <w:rsid w:val="00FD498E"/>
    <w:rsid w:val="00FD67FC"/>
    <w:rsid w:val="00FE1717"/>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39E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
    <w:name w:val="Unresolved Mention"/>
    <w:basedOn w:val="DefaultParagraphFont"/>
    <w:uiPriority w:val="99"/>
    <w:semiHidden/>
    <w:unhideWhenUsed/>
    <w:rsid w:val="00BF63E0"/>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5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 w:type="character" w:customStyle="1" w:styleId="notranslate">
    <w:name w:val="notranslate"/>
    <w:basedOn w:val="DefaultParagraphFont"/>
    <w:rsid w:val="00040F6F"/>
  </w:style>
  <w:style w:type="character" w:customStyle="1" w:styleId="UnresolvedMention">
    <w:name w:val="Unresolved Mention"/>
    <w:basedOn w:val="DefaultParagraphFont"/>
    <w:uiPriority w:val="99"/>
    <w:semiHidden/>
    <w:unhideWhenUsed/>
    <w:rsid w:val="00BF63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253900435">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2.xml"/><Relationship Id="rId18" Type="http://schemas.openxmlformats.org/officeDocument/2006/relationships/chart" Target="charts/chart7.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chart" Target="charts/chart1.xml"/><Relationship Id="rId17" Type="http://schemas.openxmlformats.org/officeDocument/2006/relationships/chart" Target="charts/chart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5.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rawan_zain@unram.ac.i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4.xml"/><Relationship Id="rId23" Type="http://schemas.openxmlformats.org/officeDocument/2006/relationships/footer" Target="footer1.xml"/><Relationship Id="rId10" Type="http://schemas.openxmlformats.org/officeDocument/2006/relationships/hyperlink" Target="mailto:wiada-FKIP@unram.ac.id," TargetMode="External"/><Relationship Id="rId19" Type="http://schemas.openxmlformats.org/officeDocument/2006/relationships/chart" Target="charts/chart8.xml"/><Relationship Id="rId4" Type="http://schemas.microsoft.com/office/2007/relationships/stylesWithEffects" Target="stylesWithEffects.xml"/><Relationship Id="rId9" Type="http://schemas.openxmlformats.org/officeDocument/2006/relationships/hyperlink" Target="mailto:m.syazali@unram.ac.id" TargetMode="External"/><Relationship Id="rId14" Type="http://schemas.openxmlformats.org/officeDocument/2006/relationships/chart" Target="charts/chart3.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C:\Latsar%20Daring%202020\Aktualisasi\Pelaksanaan%20Aktualisasi\Rekapitulasi.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Latsar%20Daring%202020\Aktualisasi\Pelaksanaan%20Aktualisasi\Rekapitulasi.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Latsar%20Daring%202020\Aktualisasi\Pelaksanaan%20Aktualisasi\Rekapitulasi.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Latsar%20Daring%202020\Aktualisasi\Pelaksanaan%20Aktualisasi\Rekapitulasi.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Latsar%20Daring%202020\Aktualisasi\Pelaksanaan%20Aktualisasi\Rekapitulasi.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Latsar%20Daring%202020\Aktualisasi\Pelaksanaan%20Aktualisasi\Rekapitulasi.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Latsar%20Daring%202020\Aktualisasi\Pelaksanaan%20Aktualisasi\Rekapitulasi.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Latsar%20Daring%202020\Aktualisasi\Pelaksanaan%20Aktualisasi\Rekapitulasi.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1988407699037624E-2"/>
          <c:y val="5.1400554097404488E-2"/>
          <c:w val="0.80592283297212719"/>
          <c:h val="0.87155173326677104"/>
        </c:manualLayout>
      </c:layout>
      <c:barChart>
        <c:barDir val="col"/>
        <c:grouping val="clustered"/>
        <c:varyColors val="0"/>
        <c:ser>
          <c:idx val="0"/>
          <c:order val="0"/>
          <c:tx>
            <c:strRef>
              <c:f>Sheet1!$E$3</c:f>
              <c:strCache>
                <c:ptCount val="1"/>
                <c:pt idx="0">
                  <c:v>PSU</c:v>
                </c:pt>
              </c:strCache>
            </c:strRef>
          </c:tx>
          <c:spPr>
            <a:pattFill prst="pct25">
              <a:fgClr>
                <a:schemeClr val="tx1"/>
              </a:fgClr>
              <a:bgClr>
                <a:schemeClr val="bg1"/>
              </a:bgClr>
            </a:pattFill>
            <a:ln>
              <a:solidFill>
                <a:sysClr val="windowText" lastClr="000000"/>
              </a:solidFill>
            </a:ln>
          </c:spPr>
          <c:invertIfNegative val="0"/>
          <c:cat>
            <c:strRef>
              <c:f>Sheet1!$D$4:$D$9</c:f>
              <c:strCache>
                <c:ptCount val="6"/>
                <c:pt idx="0">
                  <c:v>Mean</c:v>
                </c:pt>
                <c:pt idx="1">
                  <c:v>KBS</c:v>
                </c:pt>
                <c:pt idx="2">
                  <c:v>KB</c:v>
                </c:pt>
                <c:pt idx="3">
                  <c:v>KC</c:v>
                </c:pt>
                <c:pt idx="4">
                  <c:v>KK</c:v>
                </c:pt>
                <c:pt idx="5">
                  <c:v>KSK</c:v>
                </c:pt>
              </c:strCache>
            </c:strRef>
          </c:cat>
          <c:val>
            <c:numRef>
              <c:f>Sheet1!$E$4:$E$9</c:f>
              <c:numCache>
                <c:formatCode>General</c:formatCode>
                <c:ptCount val="6"/>
                <c:pt idx="0">
                  <c:v>36.17</c:v>
                </c:pt>
                <c:pt idx="1">
                  <c:v>0</c:v>
                </c:pt>
                <c:pt idx="2">
                  <c:v>0</c:v>
                </c:pt>
                <c:pt idx="3">
                  <c:v>11.428571428571429</c:v>
                </c:pt>
                <c:pt idx="4">
                  <c:v>25.714285714285712</c:v>
                </c:pt>
                <c:pt idx="5">
                  <c:v>62.857142857142854</c:v>
                </c:pt>
              </c:numCache>
            </c:numRef>
          </c:val>
        </c:ser>
        <c:ser>
          <c:idx val="1"/>
          <c:order val="1"/>
          <c:tx>
            <c:strRef>
              <c:f>Sheet1!$F$3</c:f>
              <c:strCache>
                <c:ptCount val="1"/>
                <c:pt idx="0">
                  <c:v>PSU &amp; LA</c:v>
                </c:pt>
              </c:strCache>
            </c:strRef>
          </c:tx>
          <c:spPr>
            <a:pattFill prst="wdUpDiag">
              <a:fgClr>
                <a:schemeClr val="tx1"/>
              </a:fgClr>
              <a:bgClr>
                <a:schemeClr val="bg1"/>
              </a:bgClr>
            </a:pattFill>
            <a:ln>
              <a:solidFill>
                <a:sysClr val="windowText" lastClr="000000"/>
              </a:solidFill>
            </a:ln>
          </c:spPr>
          <c:invertIfNegative val="0"/>
          <c:cat>
            <c:strRef>
              <c:f>Sheet1!$D$4:$D$9</c:f>
              <c:strCache>
                <c:ptCount val="6"/>
                <c:pt idx="0">
                  <c:v>Mean</c:v>
                </c:pt>
                <c:pt idx="1">
                  <c:v>KBS</c:v>
                </c:pt>
                <c:pt idx="2">
                  <c:v>KB</c:v>
                </c:pt>
                <c:pt idx="3">
                  <c:v>KC</c:v>
                </c:pt>
                <c:pt idx="4">
                  <c:v>KK</c:v>
                </c:pt>
                <c:pt idx="5">
                  <c:v>KSK</c:v>
                </c:pt>
              </c:strCache>
            </c:strRef>
          </c:cat>
          <c:val>
            <c:numRef>
              <c:f>Sheet1!$F$4:$F$9</c:f>
              <c:numCache>
                <c:formatCode>General</c:formatCode>
                <c:ptCount val="6"/>
                <c:pt idx="0">
                  <c:v>66.2</c:v>
                </c:pt>
                <c:pt idx="1">
                  <c:v>28.571428571428569</c:v>
                </c:pt>
                <c:pt idx="2">
                  <c:v>34.285714285714285</c:v>
                </c:pt>
                <c:pt idx="3">
                  <c:v>11.428571428571429</c:v>
                </c:pt>
                <c:pt idx="4">
                  <c:v>2.8571428571428572</c:v>
                </c:pt>
                <c:pt idx="5">
                  <c:v>22.857142857142858</c:v>
                </c:pt>
              </c:numCache>
            </c:numRef>
          </c:val>
        </c:ser>
        <c:dLbls>
          <c:showLegendKey val="0"/>
          <c:showVal val="0"/>
          <c:showCatName val="0"/>
          <c:showSerName val="0"/>
          <c:showPercent val="0"/>
          <c:showBubbleSize val="0"/>
        </c:dLbls>
        <c:gapWidth val="150"/>
        <c:axId val="264929280"/>
        <c:axId val="264932736"/>
      </c:barChart>
      <c:catAx>
        <c:axId val="264929280"/>
        <c:scaling>
          <c:orientation val="minMax"/>
        </c:scaling>
        <c:delete val="0"/>
        <c:axPos val="b"/>
        <c:majorTickMark val="out"/>
        <c:minorTickMark val="none"/>
        <c:tickLblPos val="nextTo"/>
        <c:crossAx val="264932736"/>
        <c:crosses val="autoZero"/>
        <c:auto val="1"/>
        <c:lblAlgn val="ctr"/>
        <c:lblOffset val="100"/>
        <c:noMultiLvlLbl val="0"/>
      </c:catAx>
      <c:valAx>
        <c:axId val="264932736"/>
        <c:scaling>
          <c:orientation val="minMax"/>
        </c:scaling>
        <c:delete val="0"/>
        <c:axPos val="l"/>
        <c:numFmt formatCode="General" sourceLinked="1"/>
        <c:majorTickMark val="out"/>
        <c:minorTickMark val="none"/>
        <c:tickLblPos val="nextTo"/>
        <c:crossAx val="264929280"/>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5164725071826593E-2"/>
          <c:y val="5.1400554097404488E-2"/>
          <c:w val="0.82654906791241955"/>
          <c:h val="0.85242848241092162"/>
        </c:manualLayout>
      </c:layout>
      <c:barChart>
        <c:barDir val="col"/>
        <c:grouping val="clustered"/>
        <c:varyColors val="0"/>
        <c:ser>
          <c:idx val="0"/>
          <c:order val="0"/>
          <c:tx>
            <c:strRef>
              <c:f>Sheet1!$P$3</c:f>
              <c:strCache>
                <c:ptCount val="1"/>
                <c:pt idx="0">
                  <c:v>PSU</c:v>
                </c:pt>
              </c:strCache>
            </c:strRef>
          </c:tx>
          <c:spPr>
            <a:pattFill prst="pct25">
              <a:fgClr>
                <a:schemeClr val="tx1"/>
              </a:fgClr>
              <a:bgClr>
                <a:schemeClr val="bg1"/>
              </a:bgClr>
            </a:pattFill>
            <a:ln>
              <a:solidFill>
                <a:sysClr val="windowText" lastClr="000000"/>
              </a:solidFill>
            </a:ln>
          </c:spPr>
          <c:invertIfNegative val="0"/>
          <c:cat>
            <c:strRef>
              <c:f>Sheet1!$O$4:$O$9</c:f>
              <c:strCache>
                <c:ptCount val="6"/>
                <c:pt idx="0">
                  <c:v>Mvi</c:v>
                </c:pt>
                <c:pt idx="1">
                  <c:v>Msi</c:v>
                </c:pt>
                <c:pt idx="2">
                  <c:v>Mkr</c:v>
                </c:pt>
                <c:pt idx="3">
                  <c:v>Mki</c:v>
                </c:pt>
                <c:pt idx="4">
                  <c:v>Mdi</c:v>
                </c:pt>
                <c:pt idx="5">
                  <c:v>Mkn</c:v>
                </c:pt>
              </c:strCache>
            </c:strRef>
          </c:cat>
          <c:val>
            <c:numRef>
              <c:f>Sheet1!$P$4:$P$9</c:f>
              <c:numCache>
                <c:formatCode>General</c:formatCode>
                <c:ptCount val="6"/>
                <c:pt idx="0">
                  <c:v>37.238095238095234</c:v>
                </c:pt>
                <c:pt idx="1">
                  <c:v>27.821428571428569</c:v>
                </c:pt>
                <c:pt idx="2">
                  <c:v>28.904761904761905</c:v>
                </c:pt>
                <c:pt idx="3">
                  <c:v>30.833333333333336</c:v>
                </c:pt>
                <c:pt idx="4">
                  <c:v>50.333333333333343</c:v>
                </c:pt>
                <c:pt idx="5">
                  <c:v>38.666666666666671</c:v>
                </c:pt>
              </c:numCache>
            </c:numRef>
          </c:val>
        </c:ser>
        <c:ser>
          <c:idx val="1"/>
          <c:order val="1"/>
          <c:tx>
            <c:strRef>
              <c:f>Sheet1!$Q$3</c:f>
              <c:strCache>
                <c:ptCount val="1"/>
                <c:pt idx="0">
                  <c:v>PSU &amp; LA</c:v>
                </c:pt>
              </c:strCache>
            </c:strRef>
          </c:tx>
          <c:spPr>
            <a:pattFill prst="wdUpDiag">
              <a:fgClr>
                <a:schemeClr val="tx1"/>
              </a:fgClr>
              <a:bgClr>
                <a:schemeClr val="bg1"/>
              </a:bgClr>
            </a:pattFill>
            <a:ln>
              <a:solidFill>
                <a:sysClr val="windowText" lastClr="000000"/>
              </a:solidFill>
            </a:ln>
          </c:spPr>
          <c:invertIfNegative val="0"/>
          <c:cat>
            <c:strRef>
              <c:f>Sheet1!$O$4:$O$9</c:f>
              <c:strCache>
                <c:ptCount val="6"/>
                <c:pt idx="0">
                  <c:v>Mvi</c:v>
                </c:pt>
                <c:pt idx="1">
                  <c:v>Msi</c:v>
                </c:pt>
                <c:pt idx="2">
                  <c:v>Mkr</c:v>
                </c:pt>
                <c:pt idx="3">
                  <c:v>Mki</c:v>
                </c:pt>
                <c:pt idx="4">
                  <c:v>Mdi</c:v>
                </c:pt>
                <c:pt idx="5">
                  <c:v>Mkn</c:v>
                </c:pt>
              </c:strCache>
            </c:strRef>
          </c:cat>
          <c:val>
            <c:numRef>
              <c:f>Sheet1!$Q$4:$Q$9</c:f>
              <c:numCache>
                <c:formatCode>General</c:formatCode>
                <c:ptCount val="6"/>
                <c:pt idx="0">
                  <c:v>89.142857142857139</c:v>
                </c:pt>
                <c:pt idx="1">
                  <c:v>79.142857142857153</c:v>
                </c:pt>
                <c:pt idx="2">
                  <c:v>60.439560439560438</c:v>
                </c:pt>
                <c:pt idx="3">
                  <c:v>86.785714285714292</c:v>
                </c:pt>
                <c:pt idx="4">
                  <c:v>44.285714285714285</c:v>
                </c:pt>
                <c:pt idx="5">
                  <c:v>54.285714285714285</c:v>
                </c:pt>
              </c:numCache>
            </c:numRef>
          </c:val>
        </c:ser>
        <c:dLbls>
          <c:showLegendKey val="0"/>
          <c:showVal val="0"/>
          <c:showCatName val="0"/>
          <c:showSerName val="0"/>
          <c:showPercent val="0"/>
          <c:showBubbleSize val="0"/>
        </c:dLbls>
        <c:gapWidth val="150"/>
        <c:axId val="267009408"/>
        <c:axId val="267027584"/>
      </c:barChart>
      <c:catAx>
        <c:axId val="267009408"/>
        <c:scaling>
          <c:orientation val="minMax"/>
        </c:scaling>
        <c:delete val="0"/>
        <c:axPos val="b"/>
        <c:majorTickMark val="out"/>
        <c:minorTickMark val="none"/>
        <c:tickLblPos val="nextTo"/>
        <c:crossAx val="267027584"/>
        <c:crosses val="autoZero"/>
        <c:auto val="1"/>
        <c:lblAlgn val="ctr"/>
        <c:lblOffset val="100"/>
        <c:noMultiLvlLbl val="0"/>
      </c:catAx>
      <c:valAx>
        <c:axId val="267027584"/>
        <c:scaling>
          <c:orientation val="minMax"/>
        </c:scaling>
        <c:delete val="0"/>
        <c:axPos val="l"/>
        <c:numFmt formatCode="General" sourceLinked="1"/>
        <c:majorTickMark val="out"/>
        <c:minorTickMark val="none"/>
        <c:tickLblPos val="nextTo"/>
        <c:crossAx val="267009408"/>
        <c:crosses val="autoZero"/>
        <c:crossBetween val="between"/>
      </c:valAx>
    </c:plotArea>
    <c:legend>
      <c:legendPos val="r"/>
      <c:overlay val="0"/>
    </c:legend>
    <c:plotVisOnly val="1"/>
    <c:dispBlanksAs val="gap"/>
    <c:showDLblsOverMax val="0"/>
  </c:chart>
  <c:spPr>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910584409272073"/>
          <c:y val="8.3634799887302227E-2"/>
          <c:w val="0.86089415590727925"/>
          <c:h val="0.76531696249833181"/>
        </c:manualLayout>
      </c:layout>
      <c:barChart>
        <c:barDir val="col"/>
        <c:grouping val="clustered"/>
        <c:varyColors val="0"/>
        <c:ser>
          <c:idx val="0"/>
          <c:order val="0"/>
          <c:tx>
            <c:strRef>
              <c:f>'Quiz 3'!$AD$4</c:f>
              <c:strCache>
                <c:ptCount val="1"/>
                <c:pt idx="0">
                  <c:v>PSU</c:v>
                </c:pt>
              </c:strCache>
            </c:strRef>
          </c:tx>
          <c:spPr>
            <a:pattFill prst="pct25">
              <a:fgClr>
                <a:schemeClr val="tx1"/>
              </a:fgClr>
              <a:bgClr>
                <a:schemeClr val="bg1"/>
              </a:bgClr>
            </a:pattFill>
            <a:ln>
              <a:solidFill>
                <a:sysClr val="windowText" lastClr="000000"/>
              </a:solidFill>
            </a:ln>
          </c:spPr>
          <c:invertIfNegative val="0"/>
          <c:cat>
            <c:strRef>
              <c:f>'Quiz 3'!$AC$5:$AC$9</c:f>
              <c:strCache>
                <c:ptCount val="5"/>
                <c:pt idx="0">
                  <c:v>SB</c:v>
                </c:pt>
                <c:pt idx="1">
                  <c:v>B</c:v>
                </c:pt>
                <c:pt idx="2">
                  <c:v>C</c:v>
                </c:pt>
                <c:pt idx="3">
                  <c:v>K</c:v>
                </c:pt>
                <c:pt idx="4">
                  <c:v>SK</c:v>
                </c:pt>
              </c:strCache>
            </c:strRef>
          </c:cat>
          <c:val>
            <c:numRef>
              <c:f>'Quiz 3'!$AD$5:$AD$9</c:f>
              <c:numCache>
                <c:formatCode>General</c:formatCode>
                <c:ptCount val="5"/>
                <c:pt idx="0">
                  <c:v>21.43</c:v>
                </c:pt>
                <c:pt idx="1">
                  <c:v>5.71</c:v>
                </c:pt>
                <c:pt idx="2">
                  <c:v>1.43</c:v>
                </c:pt>
                <c:pt idx="3">
                  <c:v>0</c:v>
                </c:pt>
                <c:pt idx="4">
                  <c:v>71.430000000000007</c:v>
                </c:pt>
              </c:numCache>
            </c:numRef>
          </c:val>
        </c:ser>
        <c:ser>
          <c:idx val="1"/>
          <c:order val="1"/>
          <c:tx>
            <c:strRef>
              <c:f>'Quiz 3'!$AE$4</c:f>
              <c:strCache>
                <c:ptCount val="1"/>
                <c:pt idx="0">
                  <c:v>PSU &amp; LA</c:v>
                </c:pt>
              </c:strCache>
            </c:strRef>
          </c:tx>
          <c:spPr>
            <a:pattFill prst="wdUpDiag">
              <a:fgClr>
                <a:schemeClr val="tx1"/>
              </a:fgClr>
              <a:bgClr>
                <a:schemeClr val="bg1"/>
              </a:bgClr>
            </a:pattFill>
            <a:ln>
              <a:solidFill>
                <a:sysClr val="windowText" lastClr="000000"/>
              </a:solidFill>
            </a:ln>
          </c:spPr>
          <c:invertIfNegative val="0"/>
          <c:cat>
            <c:strRef>
              <c:f>'Quiz 3'!$AC$5:$AC$9</c:f>
              <c:strCache>
                <c:ptCount val="5"/>
                <c:pt idx="0">
                  <c:v>SB</c:v>
                </c:pt>
                <c:pt idx="1">
                  <c:v>B</c:v>
                </c:pt>
                <c:pt idx="2">
                  <c:v>C</c:v>
                </c:pt>
                <c:pt idx="3">
                  <c:v>K</c:v>
                </c:pt>
                <c:pt idx="4">
                  <c:v>SK</c:v>
                </c:pt>
              </c:strCache>
            </c:strRef>
          </c:cat>
          <c:val>
            <c:numRef>
              <c:f>'Quiz 3'!$AE$5:$AE$9</c:f>
              <c:numCache>
                <c:formatCode>General</c:formatCode>
                <c:ptCount val="5"/>
                <c:pt idx="0">
                  <c:v>82.86</c:v>
                </c:pt>
                <c:pt idx="1">
                  <c:v>0</c:v>
                </c:pt>
                <c:pt idx="2">
                  <c:v>8.67</c:v>
                </c:pt>
                <c:pt idx="3">
                  <c:v>0</c:v>
                </c:pt>
                <c:pt idx="4">
                  <c:v>8.57</c:v>
                </c:pt>
              </c:numCache>
            </c:numRef>
          </c:val>
        </c:ser>
        <c:dLbls>
          <c:showLegendKey val="0"/>
          <c:showVal val="0"/>
          <c:showCatName val="0"/>
          <c:showSerName val="0"/>
          <c:showPercent val="0"/>
          <c:showBubbleSize val="0"/>
        </c:dLbls>
        <c:gapWidth val="150"/>
        <c:axId val="267236864"/>
        <c:axId val="267238400"/>
      </c:barChart>
      <c:catAx>
        <c:axId val="267236864"/>
        <c:scaling>
          <c:orientation val="minMax"/>
        </c:scaling>
        <c:delete val="0"/>
        <c:axPos val="b"/>
        <c:majorTickMark val="out"/>
        <c:minorTickMark val="none"/>
        <c:tickLblPos val="nextTo"/>
        <c:crossAx val="267238400"/>
        <c:crosses val="autoZero"/>
        <c:auto val="1"/>
        <c:lblAlgn val="ctr"/>
        <c:lblOffset val="100"/>
        <c:noMultiLvlLbl val="0"/>
      </c:catAx>
      <c:valAx>
        <c:axId val="267238400"/>
        <c:scaling>
          <c:orientation val="minMax"/>
        </c:scaling>
        <c:delete val="0"/>
        <c:axPos val="l"/>
        <c:numFmt formatCode="General" sourceLinked="1"/>
        <c:majorTickMark val="out"/>
        <c:minorTickMark val="none"/>
        <c:tickLblPos val="nextTo"/>
        <c:crossAx val="267236864"/>
        <c:crosses val="autoZero"/>
        <c:crossBetween val="between"/>
      </c:valAx>
    </c:plotArea>
    <c:plotVisOnly val="1"/>
    <c:dispBlanksAs val="gap"/>
    <c:showDLblsOverMax val="0"/>
  </c:chart>
  <c:spPr>
    <a:ln>
      <a:noFill/>
    </a:ln>
  </c:sp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26863476430772"/>
          <c:y val="8.3634799887302227E-2"/>
          <c:w val="0.84732372849678617"/>
          <c:h val="0.76531696249833181"/>
        </c:manualLayout>
      </c:layout>
      <c:barChart>
        <c:barDir val="col"/>
        <c:grouping val="clustered"/>
        <c:varyColors val="0"/>
        <c:ser>
          <c:idx val="0"/>
          <c:order val="0"/>
          <c:tx>
            <c:strRef>
              <c:f>'Quiz 3'!$AD$12</c:f>
              <c:strCache>
                <c:ptCount val="1"/>
                <c:pt idx="0">
                  <c:v>PSU</c:v>
                </c:pt>
              </c:strCache>
            </c:strRef>
          </c:tx>
          <c:spPr>
            <a:pattFill prst="pct25">
              <a:fgClr>
                <a:schemeClr val="tx1"/>
              </a:fgClr>
              <a:bgClr>
                <a:schemeClr val="bg1"/>
              </a:bgClr>
            </a:pattFill>
            <a:ln>
              <a:solidFill>
                <a:sysClr val="windowText" lastClr="000000"/>
              </a:solidFill>
            </a:ln>
          </c:spPr>
          <c:invertIfNegative val="0"/>
          <c:cat>
            <c:strRef>
              <c:f>'Quiz 3'!$AC$13:$AC$17</c:f>
              <c:strCache>
                <c:ptCount val="5"/>
                <c:pt idx="0">
                  <c:v>SB</c:v>
                </c:pt>
                <c:pt idx="1">
                  <c:v>B</c:v>
                </c:pt>
                <c:pt idx="2">
                  <c:v>C</c:v>
                </c:pt>
                <c:pt idx="3">
                  <c:v>K</c:v>
                </c:pt>
                <c:pt idx="4">
                  <c:v>SK</c:v>
                </c:pt>
              </c:strCache>
            </c:strRef>
          </c:cat>
          <c:val>
            <c:numRef>
              <c:f>'Quiz 3'!$AD$13:$AD$17</c:f>
              <c:numCache>
                <c:formatCode>General</c:formatCode>
                <c:ptCount val="5"/>
                <c:pt idx="0">
                  <c:v>5.71</c:v>
                </c:pt>
                <c:pt idx="1">
                  <c:v>17.145</c:v>
                </c:pt>
                <c:pt idx="2">
                  <c:v>2.86</c:v>
                </c:pt>
                <c:pt idx="3">
                  <c:v>10</c:v>
                </c:pt>
                <c:pt idx="4">
                  <c:v>64.284999999999997</c:v>
                </c:pt>
              </c:numCache>
            </c:numRef>
          </c:val>
        </c:ser>
        <c:ser>
          <c:idx val="1"/>
          <c:order val="1"/>
          <c:tx>
            <c:strRef>
              <c:f>'Quiz 3'!$AE$12</c:f>
              <c:strCache>
                <c:ptCount val="1"/>
                <c:pt idx="0">
                  <c:v>PSU &amp; LA</c:v>
                </c:pt>
              </c:strCache>
            </c:strRef>
          </c:tx>
          <c:spPr>
            <a:pattFill prst="wdUpDiag">
              <a:fgClr>
                <a:schemeClr val="tx1"/>
              </a:fgClr>
              <a:bgClr>
                <a:schemeClr val="bg1"/>
              </a:bgClr>
            </a:pattFill>
            <a:ln>
              <a:solidFill>
                <a:sysClr val="windowText" lastClr="000000"/>
              </a:solidFill>
            </a:ln>
          </c:spPr>
          <c:invertIfNegative val="0"/>
          <c:cat>
            <c:strRef>
              <c:f>'Quiz 3'!$AC$13:$AC$17</c:f>
              <c:strCache>
                <c:ptCount val="5"/>
                <c:pt idx="0">
                  <c:v>SB</c:v>
                </c:pt>
                <c:pt idx="1">
                  <c:v>B</c:v>
                </c:pt>
                <c:pt idx="2">
                  <c:v>C</c:v>
                </c:pt>
                <c:pt idx="3">
                  <c:v>K</c:v>
                </c:pt>
                <c:pt idx="4">
                  <c:v>SK</c:v>
                </c:pt>
              </c:strCache>
            </c:strRef>
          </c:cat>
          <c:val>
            <c:numRef>
              <c:f>'Quiz 3'!$AE$13:$AE$17</c:f>
              <c:numCache>
                <c:formatCode>General</c:formatCode>
                <c:ptCount val="5"/>
                <c:pt idx="0">
                  <c:v>77.14</c:v>
                </c:pt>
                <c:pt idx="1">
                  <c:v>2.86</c:v>
                </c:pt>
                <c:pt idx="2">
                  <c:v>11.43</c:v>
                </c:pt>
                <c:pt idx="3">
                  <c:v>0</c:v>
                </c:pt>
                <c:pt idx="4">
                  <c:v>8.57</c:v>
                </c:pt>
              </c:numCache>
            </c:numRef>
          </c:val>
        </c:ser>
        <c:dLbls>
          <c:showLegendKey val="0"/>
          <c:showVal val="0"/>
          <c:showCatName val="0"/>
          <c:showSerName val="0"/>
          <c:showPercent val="0"/>
          <c:showBubbleSize val="0"/>
        </c:dLbls>
        <c:gapWidth val="150"/>
        <c:axId val="273973248"/>
        <c:axId val="273974784"/>
      </c:barChart>
      <c:catAx>
        <c:axId val="273973248"/>
        <c:scaling>
          <c:orientation val="minMax"/>
        </c:scaling>
        <c:delete val="0"/>
        <c:axPos val="b"/>
        <c:majorTickMark val="out"/>
        <c:minorTickMark val="none"/>
        <c:tickLblPos val="nextTo"/>
        <c:crossAx val="273974784"/>
        <c:crosses val="autoZero"/>
        <c:auto val="1"/>
        <c:lblAlgn val="ctr"/>
        <c:lblOffset val="100"/>
        <c:noMultiLvlLbl val="0"/>
      </c:catAx>
      <c:valAx>
        <c:axId val="273974784"/>
        <c:scaling>
          <c:orientation val="minMax"/>
        </c:scaling>
        <c:delete val="0"/>
        <c:axPos val="l"/>
        <c:numFmt formatCode="General" sourceLinked="1"/>
        <c:majorTickMark val="out"/>
        <c:minorTickMark val="none"/>
        <c:tickLblPos val="nextTo"/>
        <c:crossAx val="273973248"/>
        <c:crosses val="autoZero"/>
        <c:crossBetween val="between"/>
      </c:valAx>
    </c:plotArea>
    <c:plotVisOnly val="1"/>
    <c:dispBlanksAs val="gap"/>
    <c:showDLblsOverMax val="0"/>
  </c:chart>
  <c:spPr>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052529148142195"/>
          <c:y val="8.5568552485852559E-2"/>
          <c:w val="0.85947462509576866"/>
          <c:h val="0.75989076509944931"/>
        </c:manualLayout>
      </c:layout>
      <c:barChart>
        <c:barDir val="col"/>
        <c:grouping val="clustered"/>
        <c:varyColors val="0"/>
        <c:ser>
          <c:idx val="0"/>
          <c:order val="0"/>
          <c:tx>
            <c:strRef>
              <c:f>'Quiz 3'!$AD$20</c:f>
              <c:strCache>
                <c:ptCount val="1"/>
                <c:pt idx="0">
                  <c:v>PSU</c:v>
                </c:pt>
              </c:strCache>
            </c:strRef>
          </c:tx>
          <c:spPr>
            <a:pattFill prst="pct25">
              <a:fgClr>
                <a:schemeClr val="tx1"/>
              </a:fgClr>
              <a:bgClr>
                <a:schemeClr val="bg1"/>
              </a:bgClr>
            </a:pattFill>
            <a:ln>
              <a:solidFill>
                <a:sysClr val="windowText" lastClr="000000"/>
              </a:solidFill>
            </a:ln>
          </c:spPr>
          <c:invertIfNegative val="0"/>
          <c:cat>
            <c:strRef>
              <c:f>'Quiz 3'!$AC$21:$AC$25</c:f>
              <c:strCache>
                <c:ptCount val="5"/>
                <c:pt idx="0">
                  <c:v>SB</c:v>
                </c:pt>
                <c:pt idx="1">
                  <c:v>B</c:v>
                </c:pt>
                <c:pt idx="2">
                  <c:v>C</c:v>
                </c:pt>
                <c:pt idx="3">
                  <c:v>K</c:v>
                </c:pt>
                <c:pt idx="4">
                  <c:v>SK</c:v>
                </c:pt>
              </c:strCache>
            </c:strRef>
          </c:cat>
          <c:val>
            <c:numRef>
              <c:f>'Quiz 3'!$AD$21:$AD$25</c:f>
              <c:numCache>
                <c:formatCode>General</c:formatCode>
                <c:ptCount val="5"/>
                <c:pt idx="0">
                  <c:v>11.42</c:v>
                </c:pt>
                <c:pt idx="1">
                  <c:v>2.86</c:v>
                </c:pt>
                <c:pt idx="2">
                  <c:v>0</c:v>
                </c:pt>
                <c:pt idx="3">
                  <c:v>0</c:v>
                </c:pt>
                <c:pt idx="4">
                  <c:v>85.72</c:v>
                </c:pt>
              </c:numCache>
            </c:numRef>
          </c:val>
        </c:ser>
        <c:ser>
          <c:idx val="1"/>
          <c:order val="1"/>
          <c:tx>
            <c:strRef>
              <c:f>'Quiz 3'!$AE$20</c:f>
              <c:strCache>
                <c:ptCount val="1"/>
                <c:pt idx="0">
                  <c:v>PSU &amp; LA</c:v>
                </c:pt>
              </c:strCache>
            </c:strRef>
          </c:tx>
          <c:spPr>
            <a:pattFill prst="wdUpDiag">
              <a:fgClr>
                <a:schemeClr val="tx1"/>
              </a:fgClr>
              <a:bgClr>
                <a:schemeClr val="bg1"/>
              </a:bgClr>
            </a:pattFill>
            <a:ln>
              <a:solidFill>
                <a:sysClr val="windowText" lastClr="000000"/>
              </a:solidFill>
            </a:ln>
          </c:spPr>
          <c:invertIfNegative val="0"/>
          <c:cat>
            <c:strRef>
              <c:f>'Quiz 3'!$AC$21:$AC$25</c:f>
              <c:strCache>
                <c:ptCount val="5"/>
                <c:pt idx="0">
                  <c:v>SB</c:v>
                </c:pt>
                <c:pt idx="1">
                  <c:v>B</c:v>
                </c:pt>
                <c:pt idx="2">
                  <c:v>C</c:v>
                </c:pt>
                <c:pt idx="3">
                  <c:v>K</c:v>
                </c:pt>
                <c:pt idx="4">
                  <c:v>SK</c:v>
                </c:pt>
              </c:strCache>
            </c:strRef>
          </c:cat>
          <c:val>
            <c:numRef>
              <c:f>'Quiz 3'!$AE$21:$AE$25</c:f>
              <c:numCache>
                <c:formatCode>General</c:formatCode>
                <c:ptCount val="5"/>
                <c:pt idx="0">
                  <c:v>42.86</c:v>
                </c:pt>
                <c:pt idx="1">
                  <c:v>0</c:v>
                </c:pt>
                <c:pt idx="2">
                  <c:v>0</c:v>
                </c:pt>
                <c:pt idx="3">
                  <c:v>0</c:v>
                </c:pt>
                <c:pt idx="4">
                  <c:v>31.43</c:v>
                </c:pt>
              </c:numCache>
            </c:numRef>
          </c:val>
        </c:ser>
        <c:dLbls>
          <c:showLegendKey val="0"/>
          <c:showVal val="0"/>
          <c:showCatName val="0"/>
          <c:showSerName val="0"/>
          <c:showPercent val="0"/>
          <c:showBubbleSize val="0"/>
        </c:dLbls>
        <c:gapWidth val="150"/>
        <c:axId val="274003840"/>
        <c:axId val="274005376"/>
      </c:barChart>
      <c:catAx>
        <c:axId val="274003840"/>
        <c:scaling>
          <c:orientation val="minMax"/>
        </c:scaling>
        <c:delete val="0"/>
        <c:axPos val="b"/>
        <c:majorTickMark val="out"/>
        <c:minorTickMark val="none"/>
        <c:tickLblPos val="nextTo"/>
        <c:crossAx val="274005376"/>
        <c:crosses val="autoZero"/>
        <c:auto val="1"/>
        <c:lblAlgn val="ctr"/>
        <c:lblOffset val="100"/>
        <c:noMultiLvlLbl val="0"/>
      </c:catAx>
      <c:valAx>
        <c:axId val="274005376"/>
        <c:scaling>
          <c:orientation val="minMax"/>
        </c:scaling>
        <c:delete val="0"/>
        <c:axPos val="l"/>
        <c:numFmt formatCode="General" sourceLinked="1"/>
        <c:majorTickMark val="out"/>
        <c:minorTickMark val="none"/>
        <c:tickLblPos val="nextTo"/>
        <c:crossAx val="274003840"/>
        <c:crosses val="autoZero"/>
        <c:crossBetween val="between"/>
      </c:valAx>
    </c:plotArea>
    <c:plotVisOnly val="1"/>
    <c:dispBlanksAs val="gap"/>
    <c:showDLblsOverMax val="0"/>
  </c:chart>
  <c:spPr>
    <a:ln>
      <a:noFill/>
    </a:ln>
  </c:sp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726863476430772"/>
          <c:y val="8.6569354269312823E-2"/>
          <c:w val="0.85257047203464897"/>
          <c:h val="0.75708246995441364"/>
        </c:manualLayout>
      </c:layout>
      <c:barChart>
        <c:barDir val="col"/>
        <c:grouping val="clustered"/>
        <c:varyColors val="0"/>
        <c:ser>
          <c:idx val="0"/>
          <c:order val="0"/>
          <c:tx>
            <c:strRef>
              <c:f>'Quiz 3'!$AD$28</c:f>
              <c:strCache>
                <c:ptCount val="1"/>
                <c:pt idx="0">
                  <c:v>PSU</c:v>
                </c:pt>
              </c:strCache>
            </c:strRef>
          </c:tx>
          <c:spPr>
            <a:pattFill prst="pct25">
              <a:fgClr>
                <a:schemeClr val="tx1"/>
              </a:fgClr>
              <a:bgClr>
                <a:schemeClr val="bg1"/>
              </a:bgClr>
            </a:pattFill>
            <a:ln>
              <a:solidFill>
                <a:sysClr val="windowText" lastClr="000000"/>
              </a:solidFill>
            </a:ln>
          </c:spPr>
          <c:invertIfNegative val="0"/>
          <c:cat>
            <c:strRef>
              <c:f>'Quiz 3'!$AC$29:$AC$33</c:f>
              <c:strCache>
                <c:ptCount val="5"/>
                <c:pt idx="0">
                  <c:v>SB</c:v>
                </c:pt>
                <c:pt idx="1">
                  <c:v>B</c:v>
                </c:pt>
                <c:pt idx="2">
                  <c:v>C</c:v>
                </c:pt>
                <c:pt idx="3">
                  <c:v>K</c:v>
                </c:pt>
                <c:pt idx="4">
                  <c:v>SK</c:v>
                </c:pt>
              </c:strCache>
            </c:strRef>
          </c:cat>
          <c:val>
            <c:numRef>
              <c:f>'Quiz 3'!$AD$29:$AD$33</c:f>
              <c:numCache>
                <c:formatCode>General</c:formatCode>
                <c:ptCount val="5"/>
                <c:pt idx="0">
                  <c:v>11.42</c:v>
                </c:pt>
                <c:pt idx="1">
                  <c:v>7.1400000000000006</c:v>
                </c:pt>
                <c:pt idx="2">
                  <c:v>2.855</c:v>
                </c:pt>
                <c:pt idx="3">
                  <c:v>7.1449999999999996</c:v>
                </c:pt>
                <c:pt idx="4">
                  <c:v>71.44</c:v>
                </c:pt>
              </c:numCache>
            </c:numRef>
          </c:val>
        </c:ser>
        <c:ser>
          <c:idx val="1"/>
          <c:order val="1"/>
          <c:tx>
            <c:strRef>
              <c:f>'Quiz 3'!$AE$28</c:f>
              <c:strCache>
                <c:ptCount val="1"/>
                <c:pt idx="0">
                  <c:v>PSU &amp; LA</c:v>
                </c:pt>
              </c:strCache>
            </c:strRef>
          </c:tx>
          <c:spPr>
            <a:pattFill prst="wdUpDiag">
              <a:fgClr>
                <a:schemeClr val="tx1"/>
              </a:fgClr>
              <a:bgClr>
                <a:schemeClr val="bg1"/>
              </a:bgClr>
            </a:pattFill>
            <a:ln>
              <a:solidFill>
                <a:sysClr val="windowText" lastClr="000000"/>
              </a:solidFill>
            </a:ln>
          </c:spPr>
          <c:invertIfNegative val="0"/>
          <c:cat>
            <c:strRef>
              <c:f>'Quiz 3'!$AC$29:$AC$33</c:f>
              <c:strCache>
                <c:ptCount val="5"/>
                <c:pt idx="0">
                  <c:v>SB</c:v>
                </c:pt>
                <c:pt idx="1">
                  <c:v>B</c:v>
                </c:pt>
                <c:pt idx="2">
                  <c:v>C</c:v>
                </c:pt>
                <c:pt idx="3">
                  <c:v>K</c:v>
                </c:pt>
                <c:pt idx="4">
                  <c:v>SK</c:v>
                </c:pt>
              </c:strCache>
            </c:strRef>
          </c:cat>
          <c:val>
            <c:numRef>
              <c:f>'Quiz 3'!$AE$29:$AE$33</c:f>
              <c:numCache>
                <c:formatCode>General</c:formatCode>
                <c:ptCount val="5"/>
                <c:pt idx="0">
                  <c:v>77.14</c:v>
                </c:pt>
                <c:pt idx="1">
                  <c:v>14.29</c:v>
                </c:pt>
                <c:pt idx="2">
                  <c:v>0</c:v>
                </c:pt>
                <c:pt idx="3">
                  <c:v>5.71</c:v>
                </c:pt>
                <c:pt idx="4">
                  <c:v>2.86</c:v>
                </c:pt>
              </c:numCache>
            </c:numRef>
          </c:val>
        </c:ser>
        <c:dLbls>
          <c:showLegendKey val="0"/>
          <c:showVal val="0"/>
          <c:showCatName val="0"/>
          <c:showSerName val="0"/>
          <c:showPercent val="0"/>
          <c:showBubbleSize val="0"/>
        </c:dLbls>
        <c:gapWidth val="150"/>
        <c:axId val="158773248"/>
        <c:axId val="158774784"/>
      </c:barChart>
      <c:catAx>
        <c:axId val="158773248"/>
        <c:scaling>
          <c:orientation val="minMax"/>
        </c:scaling>
        <c:delete val="0"/>
        <c:axPos val="b"/>
        <c:majorTickMark val="out"/>
        <c:minorTickMark val="none"/>
        <c:tickLblPos val="nextTo"/>
        <c:crossAx val="158774784"/>
        <c:crosses val="autoZero"/>
        <c:auto val="1"/>
        <c:lblAlgn val="ctr"/>
        <c:lblOffset val="100"/>
        <c:noMultiLvlLbl val="0"/>
      </c:catAx>
      <c:valAx>
        <c:axId val="158774784"/>
        <c:scaling>
          <c:orientation val="minMax"/>
        </c:scaling>
        <c:delete val="0"/>
        <c:axPos val="l"/>
        <c:numFmt formatCode="General" sourceLinked="1"/>
        <c:majorTickMark val="out"/>
        <c:minorTickMark val="none"/>
        <c:tickLblPos val="nextTo"/>
        <c:crossAx val="158773248"/>
        <c:crosses val="autoZero"/>
        <c:crossBetween val="between"/>
      </c:valAx>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595448219979214"/>
          <c:y val="8.5076779195703986E-2"/>
          <c:w val="0.86614842607761278"/>
          <c:h val="0.76127070323106161"/>
        </c:manualLayout>
      </c:layout>
      <c:barChart>
        <c:barDir val="col"/>
        <c:grouping val="clustered"/>
        <c:varyColors val="0"/>
        <c:ser>
          <c:idx val="0"/>
          <c:order val="0"/>
          <c:tx>
            <c:strRef>
              <c:f>'Quiz 3'!$AD$36</c:f>
              <c:strCache>
                <c:ptCount val="1"/>
                <c:pt idx="0">
                  <c:v>PSU</c:v>
                </c:pt>
              </c:strCache>
            </c:strRef>
          </c:tx>
          <c:spPr>
            <a:pattFill prst="pct25">
              <a:fgClr>
                <a:schemeClr val="tx1"/>
              </a:fgClr>
              <a:bgClr>
                <a:schemeClr val="bg1"/>
              </a:bgClr>
            </a:pattFill>
            <a:ln>
              <a:solidFill>
                <a:sysClr val="windowText" lastClr="000000"/>
              </a:solidFill>
            </a:ln>
          </c:spPr>
          <c:invertIfNegative val="0"/>
          <c:cat>
            <c:strRef>
              <c:f>'Quiz 3'!$AC$37:$AC$41</c:f>
              <c:strCache>
                <c:ptCount val="5"/>
                <c:pt idx="0">
                  <c:v>SB</c:v>
                </c:pt>
                <c:pt idx="1">
                  <c:v>B</c:v>
                </c:pt>
                <c:pt idx="2">
                  <c:v>C</c:v>
                </c:pt>
                <c:pt idx="3">
                  <c:v>K</c:v>
                </c:pt>
                <c:pt idx="4">
                  <c:v>SK</c:v>
                </c:pt>
              </c:strCache>
            </c:strRef>
          </c:cat>
          <c:val>
            <c:numRef>
              <c:f>'Quiz 3'!$AD$37:$AD$41</c:f>
              <c:numCache>
                <c:formatCode>General</c:formatCode>
                <c:ptCount val="5"/>
                <c:pt idx="0">
                  <c:v>44.29</c:v>
                </c:pt>
                <c:pt idx="1">
                  <c:v>2.855</c:v>
                </c:pt>
                <c:pt idx="2">
                  <c:v>0</c:v>
                </c:pt>
                <c:pt idx="3">
                  <c:v>5.7149999999999999</c:v>
                </c:pt>
                <c:pt idx="4">
                  <c:v>47.14</c:v>
                </c:pt>
              </c:numCache>
            </c:numRef>
          </c:val>
        </c:ser>
        <c:ser>
          <c:idx val="1"/>
          <c:order val="1"/>
          <c:tx>
            <c:strRef>
              <c:f>'Quiz 3'!$AE$36</c:f>
              <c:strCache>
                <c:ptCount val="1"/>
                <c:pt idx="0">
                  <c:v>PSU &amp; LA</c:v>
                </c:pt>
              </c:strCache>
            </c:strRef>
          </c:tx>
          <c:spPr>
            <a:pattFill prst="wdUpDiag">
              <a:fgClr>
                <a:schemeClr val="tx1"/>
              </a:fgClr>
              <a:bgClr>
                <a:schemeClr val="bg1"/>
              </a:bgClr>
            </a:pattFill>
            <a:ln>
              <a:solidFill>
                <a:sysClr val="windowText" lastClr="000000"/>
              </a:solidFill>
            </a:ln>
          </c:spPr>
          <c:invertIfNegative val="0"/>
          <c:cat>
            <c:strRef>
              <c:f>'Quiz 3'!$AC$37:$AC$41</c:f>
              <c:strCache>
                <c:ptCount val="5"/>
                <c:pt idx="0">
                  <c:v>SB</c:v>
                </c:pt>
                <c:pt idx="1">
                  <c:v>B</c:v>
                </c:pt>
                <c:pt idx="2">
                  <c:v>C</c:v>
                </c:pt>
                <c:pt idx="3">
                  <c:v>K</c:v>
                </c:pt>
                <c:pt idx="4">
                  <c:v>SK</c:v>
                </c:pt>
              </c:strCache>
            </c:strRef>
          </c:cat>
          <c:val>
            <c:numRef>
              <c:f>'Quiz 3'!$AE$37:$AE$41</c:f>
              <c:numCache>
                <c:formatCode>General</c:formatCode>
                <c:ptCount val="5"/>
                <c:pt idx="0">
                  <c:v>22.86</c:v>
                </c:pt>
                <c:pt idx="1">
                  <c:v>5.71</c:v>
                </c:pt>
                <c:pt idx="2">
                  <c:v>2.86</c:v>
                </c:pt>
                <c:pt idx="3">
                  <c:v>25.71</c:v>
                </c:pt>
                <c:pt idx="4">
                  <c:v>42.86</c:v>
                </c:pt>
              </c:numCache>
            </c:numRef>
          </c:val>
        </c:ser>
        <c:dLbls>
          <c:showLegendKey val="0"/>
          <c:showVal val="0"/>
          <c:showCatName val="0"/>
          <c:showSerName val="0"/>
          <c:showPercent val="0"/>
          <c:showBubbleSize val="0"/>
        </c:dLbls>
        <c:gapWidth val="150"/>
        <c:axId val="158787456"/>
        <c:axId val="158788992"/>
      </c:barChart>
      <c:catAx>
        <c:axId val="158787456"/>
        <c:scaling>
          <c:orientation val="minMax"/>
        </c:scaling>
        <c:delete val="0"/>
        <c:axPos val="b"/>
        <c:majorTickMark val="out"/>
        <c:minorTickMark val="none"/>
        <c:tickLblPos val="nextTo"/>
        <c:crossAx val="158788992"/>
        <c:crosses val="autoZero"/>
        <c:auto val="1"/>
        <c:lblAlgn val="ctr"/>
        <c:lblOffset val="100"/>
        <c:noMultiLvlLbl val="0"/>
      </c:catAx>
      <c:valAx>
        <c:axId val="158788992"/>
        <c:scaling>
          <c:orientation val="minMax"/>
        </c:scaling>
        <c:delete val="0"/>
        <c:axPos val="l"/>
        <c:numFmt formatCode="General" sourceLinked="1"/>
        <c:majorTickMark val="out"/>
        <c:minorTickMark val="none"/>
        <c:tickLblPos val="nextTo"/>
        <c:crossAx val="158787456"/>
        <c:crosses val="autoZero"/>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769738688324337E-2"/>
          <c:y val="8.8115235595550553E-2"/>
          <c:w val="0.88295250829495364"/>
          <c:h val="0.75274465691788528"/>
        </c:manualLayout>
      </c:layout>
      <c:barChart>
        <c:barDir val="col"/>
        <c:grouping val="clustered"/>
        <c:varyColors val="0"/>
        <c:ser>
          <c:idx val="0"/>
          <c:order val="0"/>
          <c:tx>
            <c:strRef>
              <c:f>'Quiz 3'!$AD$44</c:f>
              <c:strCache>
                <c:ptCount val="1"/>
                <c:pt idx="0">
                  <c:v>PSU</c:v>
                </c:pt>
              </c:strCache>
            </c:strRef>
          </c:tx>
          <c:spPr>
            <a:pattFill prst="pct25">
              <a:fgClr>
                <a:schemeClr val="tx1"/>
              </a:fgClr>
              <a:bgClr>
                <a:schemeClr val="bg1"/>
              </a:bgClr>
            </a:pattFill>
            <a:ln>
              <a:solidFill>
                <a:sysClr val="windowText" lastClr="000000"/>
              </a:solidFill>
            </a:ln>
          </c:spPr>
          <c:invertIfNegative val="0"/>
          <c:cat>
            <c:strRef>
              <c:f>'Quiz 3'!$AC$45:$AC$49</c:f>
              <c:strCache>
                <c:ptCount val="5"/>
                <c:pt idx="0">
                  <c:v>SB</c:v>
                </c:pt>
                <c:pt idx="1">
                  <c:v>B</c:v>
                </c:pt>
                <c:pt idx="2">
                  <c:v>C</c:v>
                </c:pt>
                <c:pt idx="3">
                  <c:v>K</c:v>
                </c:pt>
                <c:pt idx="4">
                  <c:v>SK</c:v>
                </c:pt>
              </c:strCache>
            </c:strRef>
          </c:cat>
          <c:val>
            <c:numRef>
              <c:f>'Quiz 3'!$AD$45:$AD$49</c:f>
              <c:numCache>
                <c:formatCode>General</c:formatCode>
                <c:ptCount val="5"/>
                <c:pt idx="0">
                  <c:v>34.29</c:v>
                </c:pt>
                <c:pt idx="1">
                  <c:v>2.855</c:v>
                </c:pt>
                <c:pt idx="2">
                  <c:v>0</c:v>
                </c:pt>
                <c:pt idx="3">
                  <c:v>1.43</c:v>
                </c:pt>
                <c:pt idx="4">
                  <c:v>61.424999999999997</c:v>
                </c:pt>
              </c:numCache>
            </c:numRef>
          </c:val>
        </c:ser>
        <c:ser>
          <c:idx val="1"/>
          <c:order val="1"/>
          <c:tx>
            <c:strRef>
              <c:f>'Quiz 3'!$AE$44</c:f>
              <c:strCache>
                <c:ptCount val="1"/>
                <c:pt idx="0">
                  <c:v>PSU &amp; LA</c:v>
                </c:pt>
              </c:strCache>
            </c:strRef>
          </c:tx>
          <c:spPr>
            <a:pattFill prst="wdUpDiag">
              <a:fgClr>
                <a:schemeClr val="tx1"/>
              </a:fgClr>
              <a:bgClr>
                <a:schemeClr val="bg1"/>
              </a:bgClr>
            </a:pattFill>
            <a:ln>
              <a:solidFill>
                <a:sysClr val="windowText" lastClr="000000"/>
              </a:solidFill>
            </a:ln>
          </c:spPr>
          <c:invertIfNegative val="0"/>
          <c:cat>
            <c:strRef>
              <c:f>'Quiz 3'!$AC$45:$AC$49</c:f>
              <c:strCache>
                <c:ptCount val="5"/>
                <c:pt idx="0">
                  <c:v>SB</c:v>
                </c:pt>
                <c:pt idx="1">
                  <c:v>B</c:v>
                </c:pt>
                <c:pt idx="2">
                  <c:v>C</c:v>
                </c:pt>
                <c:pt idx="3">
                  <c:v>K</c:v>
                </c:pt>
                <c:pt idx="4">
                  <c:v>SK</c:v>
                </c:pt>
              </c:strCache>
            </c:strRef>
          </c:cat>
          <c:val>
            <c:numRef>
              <c:f>'Quiz 3'!$AE$45:$AE$49</c:f>
              <c:numCache>
                <c:formatCode>General</c:formatCode>
                <c:ptCount val="5"/>
                <c:pt idx="0">
                  <c:v>54.29</c:v>
                </c:pt>
                <c:pt idx="1">
                  <c:v>0</c:v>
                </c:pt>
                <c:pt idx="2">
                  <c:v>0</c:v>
                </c:pt>
                <c:pt idx="3">
                  <c:v>0</c:v>
                </c:pt>
                <c:pt idx="4">
                  <c:v>45.71</c:v>
                </c:pt>
              </c:numCache>
            </c:numRef>
          </c:val>
        </c:ser>
        <c:dLbls>
          <c:showLegendKey val="0"/>
          <c:showVal val="0"/>
          <c:showCatName val="0"/>
          <c:showSerName val="0"/>
          <c:showPercent val="0"/>
          <c:showBubbleSize val="0"/>
        </c:dLbls>
        <c:gapWidth val="150"/>
        <c:axId val="158928896"/>
        <c:axId val="158930432"/>
      </c:barChart>
      <c:catAx>
        <c:axId val="158928896"/>
        <c:scaling>
          <c:orientation val="minMax"/>
        </c:scaling>
        <c:delete val="0"/>
        <c:axPos val="b"/>
        <c:majorTickMark val="out"/>
        <c:minorTickMark val="none"/>
        <c:tickLblPos val="nextTo"/>
        <c:crossAx val="158930432"/>
        <c:crosses val="autoZero"/>
        <c:auto val="1"/>
        <c:lblAlgn val="ctr"/>
        <c:lblOffset val="100"/>
        <c:noMultiLvlLbl val="0"/>
      </c:catAx>
      <c:valAx>
        <c:axId val="158930432"/>
        <c:scaling>
          <c:orientation val="minMax"/>
        </c:scaling>
        <c:delete val="0"/>
        <c:axPos val="l"/>
        <c:numFmt formatCode="General" sourceLinked="1"/>
        <c:majorTickMark val="out"/>
        <c:minorTickMark val="none"/>
        <c:tickLblPos val="nextTo"/>
        <c:crossAx val="158928896"/>
        <c:crosses val="autoZero"/>
        <c:crossBetween val="between"/>
      </c:valAx>
    </c:plotArea>
    <c:plotVisOnly val="1"/>
    <c:dispBlanksAs val="gap"/>
    <c:showDLblsOverMax val="0"/>
  </c:chart>
  <c:spPr>
    <a:ln>
      <a:no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0.11785</cdr:x>
      <cdr:y>0.02825</cdr:y>
    </cdr:from>
    <cdr:to>
      <cdr:x>0.27273</cdr:x>
      <cdr:y>0.20904</cdr:y>
    </cdr:to>
    <cdr:sp macro="" textlink="">
      <cdr:nvSpPr>
        <cdr:cNvPr id="2" name="Rectangle 1"/>
        <cdr:cNvSpPr/>
      </cdr:nvSpPr>
      <cdr:spPr>
        <a:xfrm xmlns:a="http://schemas.openxmlformats.org/drawingml/2006/main">
          <a:off x="333375" y="47625"/>
          <a:ext cx="438150" cy="304800"/>
        </a:xfrm>
        <a:prstGeom xmlns:a="http://schemas.openxmlformats.org/drawingml/2006/main" prst="rect">
          <a:avLst/>
        </a:prstGeom>
        <a:noFill xmlns:a="http://schemas.openxmlformats.org/drawingml/2006/main"/>
        <a:ln xmlns:a="http://schemas.openxmlformats.org/drawingml/2006/main">
          <a:no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r>
            <a:rPr lang="en-US">
              <a:solidFill>
                <a:sysClr val="windowText" lastClr="000000"/>
              </a:solidFill>
              <a:latin typeface="+mj-lt"/>
            </a:rPr>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489FF-BBA2-4FC2-A0FF-50C71D90A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8</Pages>
  <Words>6491</Words>
  <Characters>37005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43410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subject/>
  <dc:creator>Personal</dc:creator>
  <cp:keywords/>
  <dc:description/>
  <cp:lastModifiedBy>LENOVO</cp:lastModifiedBy>
  <cp:revision>52</cp:revision>
  <cp:lastPrinted>2016-01-13T06:50:00Z</cp:lastPrinted>
  <dcterms:created xsi:type="dcterms:W3CDTF">2018-08-23T14:28:00Z</dcterms:created>
  <dcterms:modified xsi:type="dcterms:W3CDTF">2022-03-17T13:55:00Z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b5956194-206d-306b-9dae-be8209be2e67</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